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BBA8F" w14:textId="40D0AFAE" w:rsidR="00B6623C" w:rsidRPr="007518F8" w:rsidRDefault="0049522A" w:rsidP="00B6623C">
      <w:pPr>
        <w:ind w:left="-284"/>
        <w:jc w:val="center"/>
        <w:rPr>
          <w:rFonts w:ascii="Times New Roman" w:hAnsi="Times New Roman" w:cs="Times New Roman"/>
          <w:sz w:val="24"/>
          <w:szCs w:val="24"/>
        </w:rPr>
      </w:pPr>
      <w:r w:rsidRPr="007518F8">
        <w:rPr>
          <w:rFonts w:ascii="Times New Roman" w:hAnsi="Times New Roman" w:cs="Times New Roman"/>
          <w:sz w:val="24"/>
          <w:szCs w:val="24"/>
        </w:rPr>
        <w:t>Ministry of health of Ukraine</w:t>
      </w:r>
    </w:p>
    <w:p w14:paraId="6AC0B6FC" w14:textId="77777777" w:rsidR="0049522A" w:rsidRPr="007518F8" w:rsidRDefault="0049522A" w:rsidP="000A41D4">
      <w:pPr>
        <w:ind w:left="-284"/>
        <w:jc w:val="center"/>
        <w:rPr>
          <w:rFonts w:ascii="Times New Roman" w:hAnsi="Times New Roman" w:cs="Times New Roman"/>
          <w:sz w:val="24"/>
          <w:szCs w:val="24"/>
        </w:rPr>
      </w:pPr>
    </w:p>
    <w:p w14:paraId="7E38C6C6" w14:textId="0FB3D358" w:rsidR="0049522A" w:rsidRPr="007518F8" w:rsidRDefault="0049522A" w:rsidP="000A41D4">
      <w:pPr>
        <w:ind w:left="-284"/>
        <w:jc w:val="center"/>
        <w:rPr>
          <w:rFonts w:ascii="Times New Roman" w:hAnsi="Times New Roman" w:cs="Times New Roman"/>
          <w:sz w:val="24"/>
          <w:szCs w:val="24"/>
        </w:rPr>
      </w:pPr>
      <w:r w:rsidRPr="007518F8">
        <w:rPr>
          <w:rFonts w:ascii="Times New Roman" w:hAnsi="Times New Roman" w:cs="Times New Roman"/>
          <w:sz w:val="24"/>
          <w:szCs w:val="24"/>
        </w:rPr>
        <w:t>UKRAINE</w:t>
      </w:r>
      <w:r w:rsidR="00631A31" w:rsidRPr="007518F8">
        <w:rPr>
          <w:rFonts w:ascii="Times New Roman" w:hAnsi="Times New Roman" w:cs="Times New Roman"/>
          <w:sz w:val="24"/>
          <w:szCs w:val="24"/>
        </w:rPr>
        <w:t xml:space="preserve"> EMERGENCY</w:t>
      </w:r>
      <w:r w:rsidRPr="007518F8">
        <w:rPr>
          <w:rFonts w:ascii="Times New Roman" w:hAnsi="Times New Roman" w:cs="Times New Roman"/>
          <w:sz w:val="24"/>
          <w:szCs w:val="24"/>
        </w:rPr>
        <w:t xml:space="preserve"> COVID-19 RESPONSE</w:t>
      </w:r>
      <w:r w:rsidR="00631A31" w:rsidRPr="007518F8">
        <w:rPr>
          <w:rFonts w:ascii="Times New Roman" w:hAnsi="Times New Roman" w:cs="Times New Roman"/>
          <w:sz w:val="24"/>
          <w:szCs w:val="24"/>
        </w:rPr>
        <w:t xml:space="preserve"> AND VACCINATION</w:t>
      </w:r>
      <w:r w:rsidRPr="007518F8">
        <w:rPr>
          <w:rFonts w:ascii="Times New Roman" w:hAnsi="Times New Roman" w:cs="Times New Roman"/>
          <w:sz w:val="24"/>
          <w:szCs w:val="24"/>
        </w:rPr>
        <w:t xml:space="preserve"> PROJECT</w:t>
      </w:r>
    </w:p>
    <w:p w14:paraId="632E82FA" w14:textId="77777777" w:rsidR="0049522A" w:rsidRPr="007518F8" w:rsidRDefault="0049522A" w:rsidP="000A41D4">
      <w:pPr>
        <w:ind w:left="-284"/>
        <w:jc w:val="center"/>
        <w:rPr>
          <w:rFonts w:ascii="Times New Roman" w:hAnsi="Times New Roman" w:cs="Times New Roman"/>
          <w:sz w:val="24"/>
          <w:szCs w:val="24"/>
        </w:rPr>
      </w:pPr>
    </w:p>
    <w:p w14:paraId="0A63A423" w14:textId="77777777" w:rsidR="0049522A" w:rsidRPr="007518F8" w:rsidRDefault="0049522A" w:rsidP="000A41D4">
      <w:pPr>
        <w:ind w:left="-284"/>
        <w:jc w:val="center"/>
        <w:rPr>
          <w:rFonts w:ascii="Times New Roman" w:hAnsi="Times New Roman" w:cs="Times New Roman"/>
          <w:sz w:val="24"/>
          <w:szCs w:val="24"/>
        </w:rPr>
      </w:pPr>
    </w:p>
    <w:p w14:paraId="2B9C9B19" w14:textId="77777777" w:rsidR="0049522A" w:rsidRPr="007518F8" w:rsidRDefault="0049522A" w:rsidP="000A41D4">
      <w:pPr>
        <w:ind w:left="-284"/>
        <w:jc w:val="center"/>
        <w:rPr>
          <w:rFonts w:ascii="Times New Roman" w:hAnsi="Times New Roman" w:cs="Times New Roman"/>
          <w:sz w:val="24"/>
          <w:szCs w:val="24"/>
        </w:rPr>
      </w:pPr>
    </w:p>
    <w:p w14:paraId="31F6D364" w14:textId="77777777" w:rsidR="0049522A" w:rsidRPr="007518F8" w:rsidRDefault="0049522A" w:rsidP="000A41D4">
      <w:pPr>
        <w:ind w:left="-284"/>
        <w:jc w:val="center"/>
        <w:rPr>
          <w:rFonts w:ascii="Times New Roman" w:hAnsi="Times New Roman" w:cs="Times New Roman"/>
          <w:sz w:val="24"/>
          <w:szCs w:val="24"/>
        </w:rPr>
      </w:pPr>
    </w:p>
    <w:p w14:paraId="65187DD7" w14:textId="77777777" w:rsidR="0049522A" w:rsidRPr="007518F8" w:rsidRDefault="0049522A" w:rsidP="000A41D4">
      <w:pPr>
        <w:ind w:left="-284"/>
        <w:jc w:val="center"/>
        <w:rPr>
          <w:rFonts w:ascii="Times New Roman" w:hAnsi="Times New Roman" w:cs="Times New Roman"/>
          <w:sz w:val="24"/>
          <w:szCs w:val="24"/>
        </w:rPr>
      </w:pPr>
    </w:p>
    <w:p w14:paraId="77A08B20" w14:textId="77777777" w:rsidR="0049522A" w:rsidRPr="007518F8" w:rsidRDefault="0049522A" w:rsidP="000A41D4">
      <w:pPr>
        <w:ind w:left="-284"/>
        <w:jc w:val="center"/>
        <w:rPr>
          <w:rFonts w:ascii="Times New Roman" w:hAnsi="Times New Roman" w:cs="Times New Roman"/>
          <w:sz w:val="24"/>
          <w:szCs w:val="24"/>
        </w:rPr>
      </w:pPr>
    </w:p>
    <w:p w14:paraId="65064BA6" w14:textId="77777777" w:rsidR="0049522A" w:rsidRPr="007518F8" w:rsidRDefault="0049522A" w:rsidP="000A41D4">
      <w:pPr>
        <w:ind w:left="-284"/>
        <w:jc w:val="center"/>
        <w:rPr>
          <w:rFonts w:ascii="Times New Roman" w:hAnsi="Times New Roman" w:cs="Times New Roman"/>
          <w:sz w:val="24"/>
          <w:szCs w:val="24"/>
        </w:rPr>
      </w:pPr>
    </w:p>
    <w:p w14:paraId="3D91176A" w14:textId="55BE3CB8" w:rsidR="0049522A" w:rsidRDefault="009E5A9A" w:rsidP="000A41D4">
      <w:pPr>
        <w:ind w:left="-284"/>
        <w:jc w:val="center"/>
        <w:rPr>
          <w:rFonts w:ascii="Times New Roman" w:hAnsi="Times New Roman" w:cs="Times New Roman"/>
          <w:sz w:val="24"/>
          <w:szCs w:val="24"/>
        </w:rPr>
      </w:pPr>
      <w:r w:rsidRPr="007518F8">
        <w:rPr>
          <w:rFonts w:ascii="Times New Roman" w:hAnsi="Times New Roman" w:cs="Times New Roman"/>
          <w:sz w:val="24"/>
          <w:szCs w:val="24"/>
        </w:rPr>
        <w:t>STAKEHOLDER ENGAGEMENT PLAN</w:t>
      </w:r>
    </w:p>
    <w:p w14:paraId="313173FF" w14:textId="2BB9BFEB" w:rsidR="00E62D01" w:rsidRDefault="00E62D01" w:rsidP="000A41D4">
      <w:pPr>
        <w:ind w:left="-284"/>
        <w:jc w:val="center"/>
        <w:rPr>
          <w:rFonts w:ascii="Times New Roman" w:hAnsi="Times New Roman" w:cs="Times New Roman"/>
          <w:sz w:val="24"/>
          <w:szCs w:val="24"/>
        </w:rPr>
      </w:pPr>
    </w:p>
    <w:p w14:paraId="342FAFDA" w14:textId="77777777" w:rsidR="00E62D01" w:rsidRDefault="00E62D01" w:rsidP="000A41D4">
      <w:pPr>
        <w:ind w:left="-284"/>
        <w:jc w:val="center"/>
        <w:rPr>
          <w:rFonts w:ascii="Times New Roman" w:hAnsi="Times New Roman" w:cs="Times New Roman"/>
          <w:sz w:val="24"/>
          <w:szCs w:val="24"/>
        </w:rPr>
      </w:pPr>
    </w:p>
    <w:p w14:paraId="247A1D6E" w14:textId="77777777" w:rsidR="00E62D01" w:rsidRDefault="00E62D01" w:rsidP="000A41D4">
      <w:pPr>
        <w:ind w:left="-284"/>
        <w:jc w:val="center"/>
        <w:rPr>
          <w:rFonts w:ascii="Times New Roman" w:hAnsi="Times New Roman" w:cs="Times New Roman"/>
          <w:sz w:val="24"/>
          <w:szCs w:val="24"/>
        </w:rPr>
      </w:pPr>
    </w:p>
    <w:p w14:paraId="7BC7D9A0" w14:textId="77777777" w:rsidR="00E62D01" w:rsidRDefault="00E62D01" w:rsidP="000A41D4">
      <w:pPr>
        <w:ind w:left="-284"/>
        <w:jc w:val="center"/>
        <w:rPr>
          <w:rFonts w:ascii="Times New Roman" w:hAnsi="Times New Roman" w:cs="Times New Roman"/>
          <w:sz w:val="24"/>
          <w:szCs w:val="24"/>
        </w:rPr>
      </w:pPr>
    </w:p>
    <w:p w14:paraId="3CF4D912" w14:textId="77777777" w:rsidR="00E62D01" w:rsidRDefault="00E62D01" w:rsidP="000A41D4">
      <w:pPr>
        <w:ind w:left="-284"/>
        <w:jc w:val="center"/>
        <w:rPr>
          <w:rFonts w:ascii="Times New Roman" w:hAnsi="Times New Roman" w:cs="Times New Roman"/>
          <w:sz w:val="24"/>
          <w:szCs w:val="24"/>
        </w:rPr>
      </w:pPr>
    </w:p>
    <w:p w14:paraId="18384A74" w14:textId="77777777" w:rsidR="00E62D01" w:rsidRDefault="00E62D01" w:rsidP="000A41D4">
      <w:pPr>
        <w:ind w:left="-284"/>
        <w:jc w:val="center"/>
        <w:rPr>
          <w:rFonts w:ascii="Times New Roman" w:hAnsi="Times New Roman" w:cs="Times New Roman"/>
          <w:sz w:val="24"/>
          <w:szCs w:val="24"/>
        </w:rPr>
      </w:pPr>
    </w:p>
    <w:p w14:paraId="428CFF7C" w14:textId="77777777" w:rsidR="00E62D01" w:rsidRDefault="00E62D01" w:rsidP="000A41D4">
      <w:pPr>
        <w:ind w:left="-284"/>
        <w:jc w:val="center"/>
        <w:rPr>
          <w:rFonts w:ascii="Times New Roman" w:hAnsi="Times New Roman" w:cs="Times New Roman"/>
          <w:sz w:val="24"/>
          <w:szCs w:val="24"/>
        </w:rPr>
      </w:pPr>
    </w:p>
    <w:p w14:paraId="36320C7E" w14:textId="77777777" w:rsidR="00E62D01" w:rsidRDefault="00E62D01" w:rsidP="000A41D4">
      <w:pPr>
        <w:ind w:left="-284"/>
        <w:jc w:val="center"/>
        <w:rPr>
          <w:rFonts w:ascii="Times New Roman" w:hAnsi="Times New Roman" w:cs="Times New Roman"/>
          <w:sz w:val="24"/>
          <w:szCs w:val="24"/>
        </w:rPr>
      </w:pPr>
    </w:p>
    <w:p w14:paraId="39160C73" w14:textId="77777777" w:rsidR="00E62D01" w:rsidRDefault="00E62D01" w:rsidP="000A41D4">
      <w:pPr>
        <w:ind w:left="-284"/>
        <w:jc w:val="center"/>
        <w:rPr>
          <w:rFonts w:ascii="Times New Roman" w:hAnsi="Times New Roman" w:cs="Times New Roman"/>
          <w:sz w:val="24"/>
          <w:szCs w:val="24"/>
        </w:rPr>
      </w:pPr>
    </w:p>
    <w:p w14:paraId="1DE866FB" w14:textId="77777777" w:rsidR="00E62D01" w:rsidRDefault="00E62D01" w:rsidP="000A41D4">
      <w:pPr>
        <w:ind w:left="-284"/>
        <w:jc w:val="center"/>
        <w:rPr>
          <w:rFonts w:ascii="Times New Roman" w:hAnsi="Times New Roman" w:cs="Times New Roman"/>
          <w:sz w:val="24"/>
          <w:szCs w:val="24"/>
        </w:rPr>
      </w:pPr>
    </w:p>
    <w:p w14:paraId="77C35E6E" w14:textId="77777777" w:rsidR="00E62D01" w:rsidRDefault="00E62D01" w:rsidP="000A41D4">
      <w:pPr>
        <w:ind w:left="-284"/>
        <w:jc w:val="center"/>
        <w:rPr>
          <w:rFonts w:ascii="Times New Roman" w:hAnsi="Times New Roman" w:cs="Times New Roman"/>
          <w:sz w:val="24"/>
          <w:szCs w:val="24"/>
        </w:rPr>
      </w:pPr>
    </w:p>
    <w:p w14:paraId="1D0AAB75" w14:textId="77777777" w:rsidR="00E62D01" w:rsidRDefault="00E62D01" w:rsidP="000A41D4">
      <w:pPr>
        <w:ind w:left="-284"/>
        <w:jc w:val="center"/>
        <w:rPr>
          <w:rFonts w:ascii="Times New Roman" w:hAnsi="Times New Roman" w:cs="Times New Roman"/>
          <w:sz w:val="24"/>
          <w:szCs w:val="24"/>
        </w:rPr>
      </w:pPr>
    </w:p>
    <w:p w14:paraId="3D6066F8" w14:textId="77777777" w:rsidR="00E62D01" w:rsidRDefault="00E62D01" w:rsidP="000A41D4">
      <w:pPr>
        <w:ind w:left="-284"/>
        <w:jc w:val="center"/>
        <w:rPr>
          <w:rFonts w:ascii="Times New Roman" w:hAnsi="Times New Roman" w:cs="Times New Roman"/>
          <w:sz w:val="24"/>
          <w:szCs w:val="24"/>
        </w:rPr>
      </w:pPr>
    </w:p>
    <w:p w14:paraId="365B0C2A" w14:textId="77777777" w:rsidR="00E62D01" w:rsidRDefault="00E62D01" w:rsidP="000A41D4">
      <w:pPr>
        <w:ind w:left="-284"/>
        <w:jc w:val="center"/>
        <w:rPr>
          <w:rFonts w:ascii="Times New Roman" w:hAnsi="Times New Roman" w:cs="Times New Roman"/>
          <w:sz w:val="24"/>
          <w:szCs w:val="24"/>
        </w:rPr>
      </w:pPr>
    </w:p>
    <w:p w14:paraId="64348073" w14:textId="5FAFBC63" w:rsidR="00C176DF" w:rsidRDefault="001142B3" w:rsidP="000A41D4">
      <w:pPr>
        <w:ind w:left="-284"/>
        <w:jc w:val="center"/>
        <w:rPr>
          <w:rFonts w:ascii="Times New Roman" w:hAnsi="Times New Roman" w:cs="Times New Roman"/>
          <w:sz w:val="24"/>
          <w:szCs w:val="24"/>
        </w:rPr>
      </w:pPr>
      <w:r>
        <w:rPr>
          <w:rFonts w:ascii="Times New Roman" w:hAnsi="Times New Roman" w:cs="Times New Roman"/>
          <w:sz w:val="24"/>
          <w:szCs w:val="24"/>
        </w:rPr>
        <w:t>March</w:t>
      </w:r>
      <w:r w:rsidR="00B6623C">
        <w:rPr>
          <w:rFonts w:ascii="Times New Roman" w:hAnsi="Times New Roman" w:cs="Times New Roman"/>
          <w:sz w:val="24"/>
          <w:szCs w:val="24"/>
        </w:rPr>
        <w:t xml:space="preserve"> </w:t>
      </w:r>
      <w:r w:rsidR="00E62D01">
        <w:rPr>
          <w:rFonts w:ascii="Times New Roman" w:hAnsi="Times New Roman" w:cs="Times New Roman"/>
          <w:sz w:val="24"/>
          <w:szCs w:val="24"/>
        </w:rPr>
        <w:t>202</w:t>
      </w:r>
      <w:r w:rsidR="00B6623C">
        <w:rPr>
          <w:rFonts w:ascii="Times New Roman" w:hAnsi="Times New Roman" w:cs="Times New Roman"/>
          <w:sz w:val="24"/>
          <w:szCs w:val="24"/>
        </w:rPr>
        <w:t>1</w:t>
      </w:r>
      <w:r w:rsidR="0049522A" w:rsidRPr="007518F8">
        <w:rPr>
          <w:rFonts w:ascii="Times New Roman" w:hAnsi="Times New Roman" w:cs="Times New Roman"/>
          <w:sz w:val="24"/>
          <w:szCs w:val="24"/>
        </w:rPr>
        <w:br w:type="page"/>
      </w:r>
    </w:p>
    <w:sdt>
      <w:sdtPr>
        <w:id w:val="1528290035"/>
        <w:docPartObj>
          <w:docPartGallery w:val="Table of Contents"/>
          <w:docPartUnique/>
        </w:docPartObj>
      </w:sdtPr>
      <w:sdtEndPr>
        <w:rPr>
          <w:b/>
          <w:bCs/>
          <w:noProof/>
        </w:rPr>
      </w:sdtEndPr>
      <w:sdtContent>
        <w:p w14:paraId="5291BD6E" w14:textId="4381C377" w:rsidR="00C176DF" w:rsidRPr="00C176DF" w:rsidRDefault="00C176DF" w:rsidP="000A41D4">
          <w:pPr>
            <w:ind w:left="-284"/>
            <w:rPr>
              <w:rFonts w:ascii="Times New Roman" w:hAnsi="Times New Roman" w:cs="Times New Roman"/>
              <w:sz w:val="24"/>
              <w:szCs w:val="24"/>
            </w:rPr>
          </w:pPr>
          <w:r>
            <w:t>Contents</w:t>
          </w:r>
        </w:p>
        <w:p w14:paraId="198D1B37" w14:textId="723ED919" w:rsidR="002716B4" w:rsidRDefault="00C176DF">
          <w:pPr>
            <w:pStyle w:val="11"/>
            <w:tabs>
              <w:tab w:val="right" w:leader="dot" w:pos="9629"/>
            </w:tabs>
            <w:rPr>
              <w:rFonts w:eastAsiaTheme="minorEastAsia"/>
              <w:noProof/>
              <w:lang w:val="uk-UA" w:eastAsia="uk-UA"/>
            </w:rPr>
          </w:pPr>
          <w:r>
            <w:fldChar w:fldCharType="begin"/>
          </w:r>
          <w:r>
            <w:instrText xml:space="preserve"> TOC \o "1-3" \h \z \u </w:instrText>
          </w:r>
          <w:r>
            <w:fldChar w:fldCharType="separate"/>
          </w:r>
          <w:hyperlink w:anchor="_Toc65760299" w:history="1">
            <w:r w:rsidR="002716B4" w:rsidRPr="00E76625">
              <w:rPr>
                <w:rStyle w:val="a6"/>
                <w:rFonts w:cs="Times New Roman"/>
                <w:noProof/>
              </w:rPr>
              <w:t>List of abbreviations</w:t>
            </w:r>
            <w:r w:rsidR="002716B4">
              <w:rPr>
                <w:noProof/>
                <w:webHidden/>
              </w:rPr>
              <w:tab/>
            </w:r>
            <w:r w:rsidR="002716B4">
              <w:rPr>
                <w:noProof/>
                <w:webHidden/>
              </w:rPr>
              <w:fldChar w:fldCharType="begin"/>
            </w:r>
            <w:r w:rsidR="002716B4">
              <w:rPr>
                <w:noProof/>
                <w:webHidden/>
              </w:rPr>
              <w:instrText xml:space="preserve"> PAGEREF _Toc65760299 \h </w:instrText>
            </w:r>
            <w:r w:rsidR="002716B4">
              <w:rPr>
                <w:noProof/>
                <w:webHidden/>
              </w:rPr>
            </w:r>
            <w:r w:rsidR="002716B4">
              <w:rPr>
                <w:noProof/>
                <w:webHidden/>
              </w:rPr>
              <w:fldChar w:fldCharType="separate"/>
            </w:r>
            <w:r w:rsidR="002716B4">
              <w:rPr>
                <w:noProof/>
                <w:webHidden/>
              </w:rPr>
              <w:t>2</w:t>
            </w:r>
            <w:r w:rsidR="002716B4">
              <w:rPr>
                <w:noProof/>
                <w:webHidden/>
              </w:rPr>
              <w:fldChar w:fldCharType="end"/>
            </w:r>
          </w:hyperlink>
        </w:p>
        <w:p w14:paraId="5559CAB8" w14:textId="6CAD0AEB" w:rsidR="002716B4" w:rsidRDefault="00F50ADF">
          <w:pPr>
            <w:pStyle w:val="11"/>
            <w:tabs>
              <w:tab w:val="right" w:leader="dot" w:pos="9629"/>
            </w:tabs>
            <w:rPr>
              <w:rFonts w:eastAsiaTheme="minorEastAsia"/>
              <w:noProof/>
              <w:lang w:val="uk-UA" w:eastAsia="uk-UA"/>
            </w:rPr>
          </w:pPr>
          <w:hyperlink w:anchor="_Toc65760300" w:history="1">
            <w:r w:rsidR="002716B4" w:rsidRPr="00E76625">
              <w:rPr>
                <w:rStyle w:val="a6"/>
                <w:rFonts w:cs="Times New Roman"/>
                <w:noProof/>
              </w:rPr>
              <w:t>1. Introduction</w:t>
            </w:r>
            <w:r w:rsidR="002716B4">
              <w:rPr>
                <w:noProof/>
                <w:webHidden/>
              </w:rPr>
              <w:tab/>
            </w:r>
            <w:r w:rsidR="002716B4">
              <w:rPr>
                <w:noProof/>
                <w:webHidden/>
              </w:rPr>
              <w:fldChar w:fldCharType="begin"/>
            </w:r>
            <w:r w:rsidR="002716B4">
              <w:rPr>
                <w:noProof/>
                <w:webHidden/>
              </w:rPr>
              <w:instrText xml:space="preserve"> PAGEREF _Toc65760300 \h </w:instrText>
            </w:r>
            <w:r w:rsidR="002716B4">
              <w:rPr>
                <w:noProof/>
                <w:webHidden/>
              </w:rPr>
            </w:r>
            <w:r w:rsidR="002716B4">
              <w:rPr>
                <w:noProof/>
                <w:webHidden/>
              </w:rPr>
              <w:fldChar w:fldCharType="separate"/>
            </w:r>
            <w:r w:rsidR="002716B4">
              <w:rPr>
                <w:noProof/>
                <w:webHidden/>
              </w:rPr>
              <w:t>3</w:t>
            </w:r>
            <w:r w:rsidR="002716B4">
              <w:rPr>
                <w:noProof/>
                <w:webHidden/>
              </w:rPr>
              <w:fldChar w:fldCharType="end"/>
            </w:r>
          </w:hyperlink>
        </w:p>
        <w:p w14:paraId="70C2E875" w14:textId="2E492B90" w:rsidR="002716B4" w:rsidRDefault="00F50ADF">
          <w:pPr>
            <w:pStyle w:val="11"/>
            <w:tabs>
              <w:tab w:val="right" w:leader="dot" w:pos="9629"/>
            </w:tabs>
            <w:rPr>
              <w:rFonts w:eastAsiaTheme="minorEastAsia"/>
              <w:noProof/>
              <w:lang w:val="uk-UA" w:eastAsia="uk-UA"/>
            </w:rPr>
          </w:pPr>
          <w:hyperlink w:anchor="_Toc65760301" w:history="1">
            <w:r w:rsidR="002716B4" w:rsidRPr="00E76625">
              <w:rPr>
                <w:rStyle w:val="a6"/>
                <w:rFonts w:cs="Times New Roman"/>
                <w:noProof/>
              </w:rPr>
              <w:t>1.1 Country context</w:t>
            </w:r>
            <w:r w:rsidR="002716B4">
              <w:rPr>
                <w:noProof/>
                <w:webHidden/>
              </w:rPr>
              <w:tab/>
            </w:r>
            <w:r w:rsidR="002716B4">
              <w:rPr>
                <w:noProof/>
                <w:webHidden/>
              </w:rPr>
              <w:fldChar w:fldCharType="begin"/>
            </w:r>
            <w:r w:rsidR="002716B4">
              <w:rPr>
                <w:noProof/>
                <w:webHidden/>
              </w:rPr>
              <w:instrText xml:space="preserve"> PAGEREF _Toc65760301 \h </w:instrText>
            </w:r>
            <w:r w:rsidR="002716B4">
              <w:rPr>
                <w:noProof/>
                <w:webHidden/>
              </w:rPr>
            </w:r>
            <w:r w:rsidR="002716B4">
              <w:rPr>
                <w:noProof/>
                <w:webHidden/>
              </w:rPr>
              <w:fldChar w:fldCharType="separate"/>
            </w:r>
            <w:r w:rsidR="002716B4">
              <w:rPr>
                <w:noProof/>
                <w:webHidden/>
              </w:rPr>
              <w:t>3</w:t>
            </w:r>
            <w:r w:rsidR="002716B4">
              <w:rPr>
                <w:noProof/>
                <w:webHidden/>
              </w:rPr>
              <w:fldChar w:fldCharType="end"/>
            </w:r>
          </w:hyperlink>
        </w:p>
        <w:p w14:paraId="005CB4C3" w14:textId="043A016C" w:rsidR="002716B4" w:rsidRDefault="00F50ADF">
          <w:pPr>
            <w:pStyle w:val="11"/>
            <w:tabs>
              <w:tab w:val="right" w:leader="dot" w:pos="9629"/>
            </w:tabs>
            <w:rPr>
              <w:rFonts w:eastAsiaTheme="minorEastAsia"/>
              <w:noProof/>
              <w:lang w:val="uk-UA" w:eastAsia="uk-UA"/>
            </w:rPr>
          </w:pPr>
          <w:hyperlink w:anchor="_Toc65760302" w:history="1">
            <w:r w:rsidR="002716B4" w:rsidRPr="00E76625">
              <w:rPr>
                <w:rStyle w:val="a6"/>
                <w:rFonts w:cs="Times New Roman"/>
                <w:noProof/>
              </w:rPr>
              <w:t>1.2 Description of purposes and objectives of the Project</w:t>
            </w:r>
            <w:r w:rsidR="002716B4">
              <w:rPr>
                <w:noProof/>
                <w:webHidden/>
              </w:rPr>
              <w:tab/>
            </w:r>
            <w:r w:rsidR="002716B4">
              <w:rPr>
                <w:noProof/>
                <w:webHidden/>
              </w:rPr>
              <w:fldChar w:fldCharType="begin"/>
            </w:r>
            <w:r w:rsidR="002716B4">
              <w:rPr>
                <w:noProof/>
                <w:webHidden/>
              </w:rPr>
              <w:instrText xml:space="preserve"> PAGEREF _Toc65760302 \h </w:instrText>
            </w:r>
            <w:r w:rsidR="002716B4">
              <w:rPr>
                <w:noProof/>
                <w:webHidden/>
              </w:rPr>
            </w:r>
            <w:r w:rsidR="002716B4">
              <w:rPr>
                <w:noProof/>
                <w:webHidden/>
              </w:rPr>
              <w:fldChar w:fldCharType="separate"/>
            </w:r>
            <w:r w:rsidR="002716B4">
              <w:rPr>
                <w:noProof/>
                <w:webHidden/>
              </w:rPr>
              <w:t>4</w:t>
            </w:r>
            <w:r w:rsidR="002716B4">
              <w:rPr>
                <w:noProof/>
                <w:webHidden/>
              </w:rPr>
              <w:fldChar w:fldCharType="end"/>
            </w:r>
          </w:hyperlink>
        </w:p>
        <w:p w14:paraId="7F8F51D0" w14:textId="205D6798" w:rsidR="002716B4" w:rsidRDefault="00F50ADF">
          <w:pPr>
            <w:pStyle w:val="11"/>
            <w:tabs>
              <w:tab w:val="right" w:leader="dot" w:pos="9629"/>
            </w:tabs>
            <w:rPr>
              <w:rFonts w:eastAsiaTheme="minorEastAsia"/>
              <w:noProof/>
              <w:lang w:val="uk-UA" w:eastAsia="uk-UA"/>
            </w:rPr>
          </w:pPr>
          <w:hyperlink w:anchor="_Toc65760303" w:history="1">
            <w:r w:rsidR="002716B4" w:rsidRPr="00E76625">
              <w:rPr>
                <w:rStyle w:val="a6"/>
                <w:rFonts w:cs="Times New Roman"/>
                <w:noProof/>
              </w:rPr>
              <w:t>1.3 Project components</w:t>
            </w:r>
            <w:r w:rsidR="002716B4">
              <w:rPr>
                <w:noProof/>
                <w:webHidden/>
              </w:rPr>
              <w:tab/>
            </w:r>
            <w:r w:rsidR="002716B4">
              <w:rPr>
                <w:noProof/>
                <w:webHidden/>
              </w:rPr>
              <w:fldChar w:fldCharType="begin"/>
            </w:r>
            <w:r w:rsidR="002716B4">
              <w:rPr>
                <w:noProof/>
                <w:webHidden/>
              </w:rPr>
              <w:instrText xml:space="preserve"> PAGEREF _Toc65760303 \h </w:instrText>
            </w:r>
            <w:r w:rsidR="002716B4">
              <w:rPr>
                <w:noProof/>
                <w:webHidden/>
              </w:rPr>
            </w:r>
            <w:r w:rsidR="002716B4">
              <w:rPr>
                <w:noProof/>
                <w:webHidden/>
              </w:rPr>
              <w:fldChar w:fldCharType="separate"/>
            </w:r>
            <w:r w:rsidR="002716B4">
              <w:rPr>
                <w:noProof/>
                <w:webHidden/>
              </w:rPr>
              <w:t>5</w:t>
            </w:r>
            <w:r w:rsidR="002716B4">
              <w:rPr>
                <w:noProof/>
                <w:webHidden/>
              </w:rPr>
              <w:fldChar w:fldCharType="end"/>
            </w:r>
          </w:hyperlink>
        </w:p>
        <w:p w14:paraId="38428283" w14:textId="761CA614" w:rsidR="002716B4" w:rsidRDefault="00F50ADF">
          <w:pPr>
            <w:pStyle w:val="11"/>
            <w:tabs>
              <w:tab w:val="right" w:leader="dot" w:pos="9629"/>
            </w:tabs>
            <w:rPr>
              <w:rFonts w:eastAsiaTheme="minorEastAsia"/>
              <w:noProof/>
              <w:lang w:val="uk-UA" w:eastAsia="uk-UA"/>
            </w:rPr>
          </w:pPr>
          <w:hyperlink w:anchor="_Toc65760304" w:history="1">
            <w:r w:rsidR="002716B4" w:rsidRPr="00E76625">
              <w:rPr>
                <w:rStyle w:val="a6"/>
                <w:rFonts w:cs="Times New Roman"/>
                <w:noProof/>
              </w:rPr>
              <w:t>1.</w:t>
            </w:r>
            <w:r w:rsidR="002716B4" w:rsidRPr="00E76625">
              <w:rPr>
                <w:rStyle w:val="a6"/>
                <w:rFonts w:cs="Times New Roman"/>
                <w:noProof/>
                <w:lang w:val="uk-UA"/>
              </w:rPr>
              <w:t>4</w:t>
            </w:r>
            <w:r w:rsidR="002716B4" w:rsidRPr="00E76625">
              <w:rPr>
                <w:rStyle w:val="a6"/>
                <w:rFonts w:cs="Times New Roman"/>
                <w:noProof/>
              </w:rPr>
              <w:t xml:space="preserve"> Objectives and scope of Stakeholder Engagement Plan</w:t>
            </w:r>
            <w:r w:rsidR="002716B4">
              <w:rPr>
                <w:noProof/>
                <w:webHidden/>
              </w:rPr>
              <w:tab/>
            </w:r>
            <w:r w:rsidR="002716B4">
              <w:rPr>
                <w:noProof/>
                <w:webHidden/>
              </w:rPr>
              <w:fldChar w:fldCharType="begin"/>
            </w:r>
            <w:r w:rsidR="002716B4">
              <w:rPr>
                <w:noProof/>
                <w:webHidden/>
              </w:rPr>
              <w:instrText xml:space="preserve"> PAGEREF _Toc65760304 \h </w:instrText>
            </w:r>
            <w:r w:rsidR="002716B4">
              <w:rPr>
                <w:noProof/>
                <w:webHidden/>
              </w:rPr>
            </w:r>
            <w:r w:rsidR="002716B4">
              <w:rPr>
                <w:noProof/>
                <w:webHidden/>
              </w:rPr>
              <w:fldChar w:fldCharType="separate"/>
            </w:r>
            <w:r w:rsidR="002716B4">
              <w:rPr>
                <w:noProof/>
                <w:webHidden/>
              </w:rPr>
              <w:t>9</w:t>
            </w:r>
            <w:r w:rsidR="002716B4">
              <w:rPr>
                <w:noProof/>
                <w:webHidden/>
              </w:rPr>
              <w:fldChar w:fldCharType="end"/>
            </w:r>
          </w:hyperlink>
        </w:p>
        <w:p w14:paraId="6A95BDAB" w14:textId="0B39B8C3" w:rsidR="002716B4" w:rsidRDefault="00F50ADF">
          <w:pPr>
            <w:pStyle w:val="11"/>
            <w:tabs>
              <w:tab w:val="right" w:leader="dot" w:pos="9629"/>
            </w:tabs>
            <w:rPr>
              <w:rFonts w:eastAsiaTheme="minorEastAsia"/>
              <w:noProof/>
              <w:lang w:val="uk-UA" w:eastAsia="uk-UA"/>
            </w:rPr>
          </w:pPr>
          <w:hyperlink w:anchor="_Toc65760305" w:history="1">
            <w:r w:rsidR="002716B4" w:rsidRPr="00E76625">
              <w:rPr>
                <w:rStyle w:val="a6"/>
                <w:rFonts w:cs="Times New Roman"/>
                <w:noProof/>
              </w:rPr>
              <w:t>2. National legislative framework and International Standards</w:t>
            </w:r>
            <w:r w:rsidR="002716B4">
              <w:rPr>
                <w:noProof/>
                <w:webHidden/>
              </w:rPr>
              <w:tab/>
            </w:r>
            <w:r w:rsidR="002716B4">
              <w:rPr>
                <w:noProof/>
                <w:webHidden/>
              </w:rPr>
              <w:fldChar w:fldCharType="begin"/>
            </w:r>
            <w:r w:rsidR="002716B4">
              <w:rPr>
                <w:noProof/>
                <w:webHidden/>
              </w:rPr>
              <w:instrText xml:space="preserve"> PAGEREF _Toc65760305 \h </w:instrText>
            </w:r>
            <w:r w:rsidR="002716B4">
              <w:rPr>
                <w:noProof/>
                <w:webHidden/>
              </w:rPr>
            </w:r>
            <w:r w:rsidR="002716B4">
              <w:rPr>
                <w:noProof/>
                <w:webHidden/>
              </w:rPr>
              <w:fldChar w:fldCharType="separate"/>
            </w:r>
            <w:r w:rsidR="002716B4">
              <w:rPr>
                <w:noProof/>
                <w:webHidden/>
              </w:rPr>
              <w:t>10</w:t>
            </w:r>
            <w:r w:rsidR="002716B4">
              <w:rPr>
                <w:noProof/>
                <w:webHidden/>
              </w:rPr>
              <w:fldChar w:fldCharType="end"/>
            </w:r>
          </w:hyperlink>
        </w:p>
        <w:p w14:paraId="0D9A4069" w14:textId="6987B1F2" w:rsidR="002716B4" w:rsidRDefault="00F50ADF">
          <w:pPr>
            <w:pStyle w:val="11"/>
            <w:tabs>
              <w:tab w:val="right" w:leader="dot" w:pos="9629"/>
            </w:tabs>
            <w:rPr>
              <w:rFonts w:eastAsiaTheme="minorEastAsia"/>
              <w:noProof/>
              <w:lang w:val="uk-UA" w:eastAsia="uk-UA"/>
            </w:rPr>
          </w:pPr>
          <w:hyperlink w:anchor="_Toc65760306" w:history="1">
            <w:r w:rsidR="002716B4" w:rsidRPr="00E76625">
              <w:rPr>
                <w:rStyle w:val="a6"/>
                <w:rFonts w:cs="Times New Roman"/>
                <w:noProof/>
              </w:rPr>
              <w:t>2.1 National Legislation and Regulations on Social Protection and access to the information</w:t>
            </w:r>
            <w:r w:rsidR="002716B4">
              <w:rPr>
                <w:noProof/>
                <w:webHidden/>
              </w:rPr>
              <w:tab/>
            </w:r>
            <w:r w:rsidR="002716B4">
              <w:rPr>
                <w:noProof/>
                <w:webHidden/>
              </w:rPr>
              <w:fldChar w:fldCharType="begin"/>
            </w:r>
            <w:r w:rsidR="002716B4">
              <w:rPr>
                <w:noProof/>
                <w:webHidden/>
              </w:rPr>
              <w:instrText xml:space="preserve"> PAGEREF _Toc65760306 \h </w:instrText>
            </w:r>
            <w:r w:rsidR="002716B4">
              <w:rPr>
                <w:noProof/>
                <w:webHidden/>
              </w:rPr>
            </w:r>
            <w:r w:rsidR="002716B4">
              <w:rPr>
                <w:noProof/>
                <w:webHidden/>
              </w:rPr>
              <w:fldChar w:fldCharType="separate"/>
            </w:r>
            <w:r w:rsidR="002716B4">
              <w:rPr>
                <w:noProof/>
                <w:webHidden/>
              </w:rPr>
              <w:t>10</w:t>
            </w:r>
            <w:r w:rsidR="002716B4">
              <w:rPr>
                <w:noProof/>
                <w:webHidden/>
              </w:rPr>
              <w:fldChar w:fldCharType="end"/>
            </w:r>
          </w:hyperlink>
        </w:p>
        <w:p w14:paraId="71A5B636" w14:textId="62E46D7A" w:rsidR="002716B4" w:rsidRDefault="00F50ADF">
          <w:pPr>
            <w:pStyle w:val="11"/>
            <w:tabs>
              <w:tab w:val="right" w:leader="dot" w:pos="9629"/>
            </w:tabs>
            <w:rPr>
              <w:rFonts w:eastAsiaTheme="minorEastAsia"/>
              <w:noProof/>
              <w:lang w:val="uk-UA" w:eastAsia="uk-UA"/>
            </w:rPr>
          </w:pPr>
          <w:hyperlink w:anchor="_Toc65760307" w:history="1">
            <w:r w:rsidR="002716B4" w:rsidRPr="00E76625">
              <w:rPr>
                <w:rStyle w:val="a6"/>
                <w:rFonts w:cs="Times New Roman"/>
                <w:noProof/>
              </w:rPr>
              <w:t>2.2 World Bank Environmental and Social Standards on Stakeholder Engagement</w:t>
            </w:r>
            <w:r w:rsidR="002716B4">
              <w:rPr>
                <w:noProof/>
                <w:webHidden/>
              </w:rPr>
              <w:tab/>
            </w:r>
            <w:r w:rsidR="002716B4">
              <w:rPr>
                <w:noProof/>
                <w:webHidden/>
              </w:rPr>
              <w:fldChar w:fldCharType="begin"/>
            </w:r>
            <w:r w:rsidR="002716B4">
              <w:rPr>
                <w:noProof/>
                <w:webHidden/>
              </w:rPr>
              <w:instrText xml:space="preserve"> PAGEREF _Toc65760307 \h </w:instrText>
            </w:r>
            <w:r w:rsidR="002716B4">
              <w:rPr>
                <w:noProof/>
                <w:webHidden/>
              </w:rPr>
            </w:r>
            <w:r w:rsidR="002716B4">
              <w:rPr>
                <w:noProof/>
                <w:webHidden/>
              </w:rPr>
              <w:fldChar w:fldCharType="separate"/>
            </w:r>
            <w:r w:rsidR="002716B4">
              <w:rPr>
                <w:noProof/>
                <w:webHidden/>
              </w:rPr>
              <w:t>11</w:t>
            </w:r>
            <w:r w:rsidR="002716B4">
              <w:rPr>
                <w:noProof/>
                <w:webHidden/>
              </w:rPr>
              <w:fldChar w:fldCharType="end"/>
            </w:r>
          </w:hyperlink>
        </w:p>
        <w:p w14:paraId="7D4C2D0D" w14:textId="3268F83F" w:rsidR="002716B4" w:rsidRDefault="00F50ADF">
          <w:pPr>
            <w:pStyle w:val="11"/>
            <w:tabs>
              <w:tab w:val="right" w:leader="dot" w:pos="9629"/>
            </w:tabs>
            <w:rPr>
              <w:rFonts w:eastAsiaTheme="minorEastAsia"/>
              <w:noProof/>
              <w:lang w:val="uk-UA" w:eastAsia="uk-UA"/>
            </w:rPr>
          </w:pPr>
          <w:hyperlink w:anchor="_Toc65760308" w:history="1">
            <w:r w:rsidR="002716B4" w:rsidRPr="00E76625">
              <w:rPr>
                <w:rStyle w:val="a6"/>
                <w:rFonts w:cs="Times New Roman"/>
                <w:noProof/>
              </w:rPr>
              <w:t>3. Stakeholder identification and analysis</w:t>
            </w:r>
            <w:r w:rsidR="002716B4">
              <w:rPr>
                <w:noProof/>
                <w:webHidden/>
              </w:rPr>
              <w:tab/>
            </w:r>
            <w:r w:rsidR="002716B4">
              <w:rPr>
                <w:noProof/>
                <w:webHidden/>
              </w:rPr>
              <w:fldChar w:fldCharType="begin"/>
            </w:r>
            <w:r w:rsidR="002716B4">
              <w:rPr>
                <w:noProof/>
                <w:webHidden/>
              </w:rPr>
              <w:instrText xml:space="preserve"> PAGEREF _Toc65760308 \h </w:instrText>
            </w:r>
            <w:r w:rsidR="002716B4">
              <w:rPr>
                <w:noProof/>
                <w:webHidden/>
              </w:rPr>
            </w:r>
            <w:r w:rsidR="002716B4">
              <w:rPr>
                <w:noProof/>
                <w:webHidden/>
              </w:rPr>
              <w:fldChar w:fldCharType="separate"/>
            </w:r>
            <w:r w:rsidR="002716B4">
              <w:rPr>
                <w:noProof/>
                <w:webHidden/>
              </w:rPr>
              <w:t>12</w:t>
            </w:r>
            <w:r w:rsidR="002716B4">
              <w:rPr>
                <w:noProof/>
                <w:webHidden/>
              </w:rPr>
              <w:fldChar w:fldCharType="end"/>
            </w:r>
          </w:hyperlink>
        </w:p>
        <w:p w14:paraId="6E693A3D" w14:textId="5C531028" w:rsidR="002716B4" w:rsidRDefault="00F50ADF">
          <w:pPr>
            <w:pStyle w:val="11"/>
            <w:tabs>
              <w:tab w:val="right" w:leader="dot" w:pos="9629"/>
            </w:tabs>
            <w:rPr>
              <w:rFonts w:eastAsiaTheme="minorEastAsia"/>
              <w:noProof/>
              <w:lang w:val="uk-UA" w:eastAsia="uk-UA"/>
            </w:rPr>
          </w:pPr>
          <w:hyperlink w:anchor="_Toc65760309" w:history="1">
            <w:r w:rsidR="002716B4" w:rsidRPr="00E76625">
              <w:rPr>
                <w:rStyle w:val="a6"/>
                <w:rFonts w:cs="Times New Roman"/>
                <w:noProof/>
              </w:rPr>
              <w:t>3.1  Affected Parties</w:t>
            </w:r>
            <w:r w:rsidR="002716B4">
              <w:rPr>
                <w:noProof/>
                <w:webHidden/>
              </w:rPr>
              <w:tab/>
            </w:r>
            <w:r w:rsidR="002716B4">
              <w:rPr>
                <w:noProof/>
                <w:webHidden/>
              </w:rPr>
              <w:fldChar w:fldCharType="begin"/>
            </w:r>
            <w:r w:rsidR="002716B4">
              <w:rPr>
                <w:noProof/>
                <w:webHidden/>
              </w:rPr>
              <w:instrText xml:space="preserve"> PAGEREF _Toc65760309 \h </w:instrText>
            </w:r>
            <w:r w:rsidR="002716B4">
              <w:rPr>
                <w:noProof/>
                <w:webHidden/>
              </w:rPr>
            </w:r>
            <w:r w:rsidR="002716B4">
              <w:rPr>
                <w:noProof/>
                <w:webHidden/>
              </w:rPr>
              <w:fldChar w:fldCharType="separate"/>
            </w:r>
            <w:r w:rsidR="002716B4">
              <w:rPr>
                <w:noProof/>
                <w:webHidden/>
              </w:rPr>
              <w:t>12</w:t>
            </w:r>
            <w:r w:rsidR="002716B4">
              <w:rPr>
                <w:noProof/>
                <w:webHidden/>
              </w:rPr>
              <w:fldChar w:fldCharType="end"/>
            </w:r>
          </w:hyperlink>
        </w:p>
        <w:p w14:paraId="55EC335D" w14:textId="7D729F29" w:rsidR="002716B4" w:rsidRDefault="00F50ADF">
          <w:pPr>
            <w:pStyle w:val="11"/>
            <w:tabs>
              <w:tab w:val="right" w:leader="dot" w:pos="9629"/>
            </w:tabs>
            <w:rPr>
              <w:rFonts w:eastAsiaTheme="minorEastAsia"/>
              <w:noProof/>
              <w:lang w:val="uk-UA" w:eastAsia="uk-UA"/>
            </w:rPr>
          </w:pPr>
          <w:hyperlink w:anchor="_Toc65760310" w:history="1">
            <w:r w:rsidR="002716B4" w:rsidRPr="00E76625">
              <w:rPr>
                <w:rStyle w:val="a6"/>
                <w:rFonts w:cs="Times New Roman"/>
                <w:noProof/>
              </w:rPr>
              <w:t>3.2 Other Interested Parties</w:t>
            </w:r>
            <w:r w:rsidR="002716B4">
              <w:rPr>
                <w:noProof/>
                <w:webHidden/>
              </w:rPr>
              <w:tab/>
            </w:r>
            <w:r w:rsidR="002716B4">
              <w:rPr>
                <w:noProof/>
                <w:webHidden/>
              </w:rPr>
              <w:fldChar w:fldCharType="begin"/>
            </w:r>
            <w:r w:rsidR="002716B4">
              <w:rPr>
                <w:noProof/>
                <w:webHidden/>
              </w:rPr>
              <w:instrText xml:space="preserve"> PAGEREF _Toc65760310 \h </w:instrText>
            </w:r>
            <w:r w:rsidR="002716B4">
              <w:rPr>
                <w:noProof/>
                <w:webHidden/>
              </w:rPr>
            </w:r>
            <w:r w:rsidR="002716B4">
              <w:rPr>
                <w:noProof/>
                <w:webHidden/>
              </w:rPr>
              <w:fldChar w:fldCharType="separate"/>
            </w:r>
            <w:r w:rsidR="002716B4">
              <w:rPr>
                <w:noProof/>
                <w:webHidden/>
              </w:rPr>
              <w:t>13</w:t>
            </w:r>
            <w:r w:rsidR="002716B4">
              <w:rPr>
                <w:noProof/>
                <w:webHidden/>
              </w:rPr>
              <w:fldChar w:fldCharType="end"/>
            </w:r>
          </w:hyperlink>
        </w:p>
        <w:p w14:paraId="617B64B4" w14:textId="08ED4CEF" w:rsidR="002716B4" w:rsidRDefault="00F50ADF">
          <w:pPr>
            <w:pStyle w:val="11"/>
            <w:tabs>
              <w:tab w:val="right" w:leader="dot" w:pos="9629"/>
            </w:tabs>
            <w:rPr>
              <w:rFonts w:eastAsiaTheme="minorEastAsia"/>
              <w:noProof/>
              <w:lang w:val="uk-UA" w:eastAsia="uk-UA"/>
            </w:rPr>
          </w:pPr>
          <w:hyperlink w:anchor="_Toc65760311" w:history="1">
            <w:r w:rsidR="002716B4" w:rsidRPr="00E76625">
              <w:rPr>
                <w:rStyle w:val="a6"/>
                <w:rFonts w:cs="Times New Roman"/>
                <w:noProof/>
              </w:rPr>
              <w:t>3.3 Disadvantaged / vulnerable individuals or groups</w:t>
            </w:r>
            <w:r w:rsidR="002716B4">
              <w:rPr>
                <w:noProof/>
                <w:webHidden/>
              </w:rPr>
              <w:tab/>
            </w:r>
            <w:r w:rsidR="002716B4">
              <w:rPr>
                <w:noProof/>
                <w:webHidden/>
              </w:rPr>
              <w:fldChar w:fldCharType="begin"/>
            </w:r>
            <w:r w:rsidR="002716B4">
              <w:rPr>
                <w:noProof/>
                <w:webHidden/>
              </w:rPr>
              <w:instrText xml:space="preserve"> PAGEREF _Toc65760311 \h </w:instrText>
            </w:r>
            <w:r w:rsidR="002716B4">
              <w:rPr>
                <w:noProof/>
                <w:webHidden/>
              </w:rPr>
            </w:r>
            <w:r w:rsidR="002716B4">
              <w:rPr>
                <w:noProof/>
                <w:webHidden/>
              </w:rPr>
              <w:fldChar w:fldCharType="separate"/>
            </w:r>
            <w:r w:rsidR="002716B4">
              <w:rPr>
                <w:noProof/>
                <w:webHidden/>
              </w:rPr>
              <w:t>13</w:t>
            </w:r>
            <w:r w:rsidR="002716B4">
              <w:rPr>
                <w:noProof/>
                <w:webHidden/>
              </w:rPr>
              <w:fldChar w:fldCharType="end"/>
            </w:r>
          </w:hyperlink>
        </w:p>
        <w:p w14:paraId="55D33923" w14:textId="186388A3" w:rsidR="002716B4" w:rsidRDefault="00F50ADF">
          <w:pPr>
            <w:pStyle w:val="11"/>
            <w:tabs>
              <w:tab w:val="right" w:leader="dot" w:pos="9629"/>
            </w:tabs>
            <w:rPr>
              <w:rFonts w:eastAsiaTheme="minorEastAsia"/>
              <w:noProof/>
              <w:lang w:val="uk-UA" w:eastAsia="uk-UA"/>
            </w:rPr>
          </w:pPr>
          <w:hyperlink w:anchor="_Toc65760312" w:history="1">
            <w:r w:rsidR="002716B4" w:rsidRPr="00E76625">
              <w:rPr>
                <w:rStyle w:val="a6"/>
                <w:rFonts w:cs="Times New Roman"/>
                <w:noProof/>
              </w:rPr>
              <w:t>3.4 Stakeholder dialogue and outcomes during project preparation</w:t>
            </w:r>
            <w:r w:rsidR="002716B4">
              <w:rPr>
                <w:noProof/>
                <w:webHidden/>
              </w:rPr>
              <w:tab/>
            </w:r>
            <w:r w:rsidR="002716B4">
              <w:rPr>
                <w:noProof/>
                <w:webHidden/>
              </w:rPr>
              <w:fldChar w:fldCharType="begin"/>
            </w:r>
            <w:r w:rsidR="002716B4">
              <w:rPr>
                <w:noProof/>
                <w:webHidden/>
              </w:rPr>
              <w:instrText xml:space="preserve"> PAGEREF _Toc65760312 \h </w:instrText>
            </w:r>
            <w:r w:rsidR="002716B4">
              <w:rPr>
                <w:noProof/>
                <w:webHidden/>
              </w:rPr>
            </w:r>
            <w:r w:rsidR="002716B4">
              <w:rPr>
                <w:noProof/>
                <w:webHidden/>
              </w:rPr>
              <w:fldChar w:fldCharType="separate"/>
            </w:r>
            <w:r w:rsidR="002716B4">
              <w:rPr>
                <w:noProof/>
                <w:webHidden/>
              </w:rPr>
              <w:t>14</w:t>
            </w:r>
            <w:r w:rsidR="002716B4">
              <w:rPr>
                <w:noProof/>
                <w:webHidden/>
              </w:rPr>
              <w:fldChar w:fldCharType="end"/>
            </w:r>
          </w:hyperlink>
        </w:p>
        <w:p w14:paraId="2343D533" w14:textId="151412EA" w:rsidR="002716B4" w:rsidRDefault="00F50ADF">
          <w:pPr>
            <w:pStyle w:val="11"/>
            <w:tabs>
              <w:tab w:val="right" w:leader="dot" w:pos="9629"/>
            </w:tabs>
            <w:rPr>
              <w:rFonts w:eastAsiaTheme="minorEastAsia"/>
              <w:noProof/>
              <w:lang w:val="uk-UA" w:eastAsia="uk-UA"/>
            </w:rPr>
          </w:pPr>
          <w:hyperlink w:anchor="_Toc65760313" w:history="1">
            <w:r w:rsidR="002716B4" w:rsidRPr="00E76625">
              <w:rPr>
                <w:rStyle w:val="a6"/>
                <w:rFonts w:cs="Times New Roman"/>
                <w:noProof/>
              </w:rPr>
              <w:t>4. Stakeholder engagement program</w:t>
            </w:r>
            <w:r w:rsidR="002716B4">
              <w:rPr>
                <w:noProof/>
                <w:webHidden/>
              </w:rPr>
              <w:tab/>
            </w:r>
            <w:r w:rsidR="002716B4">
              <w:rPr>
                <w:noProof/>
                <w:webHidden/>
              </w:rPr>
              <w:fldChar w:fldCharType="begin"/>
            </w:r>
            <w:r w:rsidR="002716B4">
              <w:rPr>
                <w:noProof/>
                <w:webHidden/>
              </w:rPr>
              <w:instrText xml:space="preserve"> PAGEREF _Toc65760313 \h </w:instrText>
            </w:r>
            <w:r w:rsidR="002716B4">
              <w:rPr>
                <w:noProof/>
                <w:webHidden/>
              </w:rPr>
            </w:r>
            <w:r w:rsidR="002716B4">
              <w:rPr>
                <w:noProof/>
                <w:webHidden/>
              </w:rPr>
              <w:fldChar w:fldCharType="separate"/>
            </w:r>
            <w:r w:rsidR="002716B4">
              <w:rPr>
                <w:noProof/>
                <w:webHidden/>
              </w:rPr>
              <w:t>16</w:t>
            </w:r>
            <w:r w:rsidR="002716B4">
              <w:rPr>
                <w:noProof/>
                <w:webHidden/>
              </w:rPr>
              <w:fldChar w:fldCharType="end"/>
            </w:r>
          </w:hyperlink>
        </w:p>
        <w:p w14:paraId="7C56C510" w14:textId="5F69D389" w:rsidR="002716B4" w:rsidRDefault="00F50ADF">
          <w:pPr>
            <w:pStyle w:val="11"/>
            <w:tabs>
              <w:tab w:val="right" w:leader="dot" w:pos="9629"/>
            </w:tabs>
            <w:rPr>
              <w:rFonts w:eastAsiaTheme="minorEastAsia"/>
              <w:noProof/>
              <w:lang w:val="uk-UA" w:eastAsia="uk-UA"/>
            </w:rPr>
          </w:pPr>
          <w:hyperlink w:anchor="_Toc65760314" w:history="1">
            <w:r w:rsidR="002716B4" w:rsidRPr="00E76625">
              <w:rPr>
                <w:rStyle w:val="a6"/>
                <w:rFonts w:cs="Times New Roman"/>
                <w:noProof/>
              </w:rPr>
              <w:t>4.1 Public disclosure of documents related to the Project</w:t>
            </w:r>
            <w:r w:rsidR="002716B4">
              <w:rPr>
                <w:noProof/>
                <w:webHidden/>
              </w:rPr>
              <w:tab/>
            </w:r>
            <w:r w:rsidR="002716B4">
              <w:rPr>
                <w:noProof/>
                <w:webHidden/>
              </w:rPr>
              <w:fldChar w:fldCharType="begin"/>
            </w:r>
            <w:r w:rsidR="002716B4">
              <w:rPr>
                <w:noProof/>
                <w:webHidden/>
              </w:rPr>
              <w:instrText xml:space="preserve"> PAGEREF _Toc65760314 \h </w:instrText>
            </w:r>
            <w:r w:rsidR="002716B4">
              <w:rPr>
                <w:noProof/>
                <w:webHidden/>
              </w:rPr>
            </w:r>
            <w:r w:rsidR="002716B4">
              <w:rPr>
                <w:noProof/>
                <w:webHidden/>
              </w:rPr>
              <w:fldChar w:fldCharType="separate"/>
            </w:r>
            <w:r w:rsidR="002716B4">
              <w:rPr>
                <w:noProof/>
                <w:webHidden/>
              </w:rPr>
              <w:t>23</w:t>
            </w:r>
            <w:r w:rsidR="002716B4">
              <w:rPr>
                <w:noProof/>
                <w:webHidden/>
              </w:rPr>
              <w:fldChar w:fldCharType="end"/>
            </w:r>
          </w:hyperlink>
        </w:p>
        <w:p w14:paraId="27D2F837" w14:textId="649BE26B" w:rsidR="002716B4" w:rsidRDefault="00F50ADF">
          <w:pPr>
            <w:pStyle w:val="11"/>
            <w:tabs>
              <w:tab w:val="right" w:leader="dot" w:pos="9629"/>
            </w:tabs>
            <w:rPr>
              <w:rFonts w:eastAsiaTheme="minorEastAsia"/>
              <w:noProof/>
              <w:lang w:val="uk-UA" w:eastAsia="uk-UA"/>
            </w:rPr>
          </w:pPr>
          <w:hyperlink w:anchor="_Toc65760315" w:history="1">
            <w:r w:rsidR="002716B4" w:rsidRPr="00E76625">
              <w:rPr>
                <w:rStyle w:val="a6"/>
                <w:rFonts w:cs="Times New Roman"/>
                <w:noProof/>
              </w:rPr>
              <w:t>5.Implementation Arrangements</w:t>
            </w:r>
            <w:r w:rsidR="002716B4">
              <w:rPr>
                <w:noProof/>
                <w:webHidden/>
              </w:rPr>
              <w:tab/>
            </w:r>
            <w:r w:rsidR="002716B4">
              <w:rPr>
                <w:noProof/>
                <w:webHidden/>
              </w:rPr>
              <w:fldChar w:fldCharType="begin"/>
            </w:r>
            <w:r w:rsidR="002716B4">
              <w:rPr>
                <w:noProof/>
                <w:webHidden/>
              </w:rPr>
              <w:instrText xml:space="preserve"> PAGEREF _Toc65760315 \h </w:instrText>
            </w:r>
            <w:r w:rsidR="002716B4">
              <w:rPr>
                <w:noProof/>
                <w:webHidden/>
              </w:rPr>
            </w:r>
            <w:r w:rsidR="002716B4">
              <w:rPr>
                <w:noProof/>
                <w:webHidden/>
              </w:rPr>
              <w:fldChar w:fldCharType="separate"/>
            </w:r>
            <w:r w:rsidR="002716B4">
              <w:rPr>
                <w:noProof/>
                <w:webHidden/>
              </w:rPr>
              <w:t>23</w:t>
            </w:r>
            <w:r w:rsidR="002716B4">
              <w:rPr>
                <w:noProof/>
                <w:webHidden/>
              </w:rPr>
              <w:fldChar w:fldCharType="end"/>
            </w:r>
          </w:hyperlink>
        </w:p>
        <w:p w14:paraId="63892421" w14:textId="711D1C07" w:rsidR="002716B4" w:rsidRDefault="00F50ADF">
          <w:pPr>
            <w:pStyle w:val="11"/>
            <w:tabs>
              <w:tab w:val="right" w:leader="dot" w:pos="9629"/>
            </w:tabs>
            <w:rPr>
              <w:rFonts w:eastAsiaTheme="minorEastAsia"/>
              <w:noProof/>
              <w:lang w:val="uk-UA" w:eastAsia="uk-UA"/>
            </w:rPr>
          </w:pPr>
          <w:hyperlink w:anchor="_Toc65760316" w:history="1">
            <w:r w:rsidR="002716B4" w:rsidRPr="00E76625">
              <w:rPr>
                <w:rStyle w:val="a6"/>
                <w:rFonts w:cs="Times New Roman"/>
                <w:noProof/>
              </w:rPr>
              <w:t>5.1 Institutional Roles and Responsibilities</w:t>
            </w:r>
            <w:r w:rsidR="002716B4">
              <w:rPr>
                <w:noProof/>
                <w:webHidden/>
              </w:rPr>
              <w:tab/>
            </w:r>
            <w:r w:rsidR="002716B4">
              <w:rPr>
                <w:noProof/>
                <w:webHidden/>
              </w:rPr>
              <w:fldChar w:fldCharType="begin"/>
            </w:r>
            <w:r w:rsidR="002716B4">
              <w:rPr>
                <w:noProof/>
                <w:webHidden/>
              </w:rPr>
              <w:instrText xml:space="preserve"> PAGEREF _Toc65760316 \h </w:instrText>
            </w:r>
            <w:r w:rsidR="002716B4">
              <w:rPr>
                <w:noProof/>
                <w:webHidden/>
              </w:rPr>
            </w:r>
            <w:r w:rsidR="002716B4">
              <w:rPr>
                <w:noProof/>
                <w:webHidden/>
              </w:rPr>
              <w:fldChar w:fldCharType="separate"/>
            </w:r>
            <w:r w:rsidR="002716B4">
              <w:rPr>
                <w:noProof/>
                <w:webHidden/>
              </w:rPr>
              <w:t>23</w:t>
            </w:r>
            <w:r w:rsidR="002716B4">
              <w:rPr>
                <w:noProof/>
                <w:webHidden/>
              </w:rPr>
              <w:fldChar w:fldCharType="end"/>
            </w:r>
          </w:hyperlink>
        </w:p>
        <w:p w14:paraId="1F3BF123" w14:textId="33F22766" w:rsidR="002716B4" w:rsidRDefault="00F50ADF">
          <w:pPr>
            <w:pStyle w:val="11"/>
            <w:tabs>
              <w:tab w:val="right" w:leader="dot" w:pos="9629"/>
            </w:tabs>
            <w:rPr>
              <w:rFonts w:eastAsiaTheme="minorEastAsia"/>
              <w:noProof/>
              <w:lang w:val="uk-UA" w:eastAsia="uk-UA"/>
            </w:rPr>
          </w:pPr>
          <w:hyperlink w:anchor="_Toc65760317" w:history="1">
            <w:r w:rsidR="002716B4" w:rsidRPr="00E76625">
              <w:rPr>
                <w:rStyle w:val="a6"/>
                <w:rFonts w:cs="Times New Roman"/>
                <w:noProof/>
              </w:rPr>
              <w:t>5.2 Monitoring activities</w:t>
            </w:r>
            <w:r w:rsidR="002716B4">
              <w:rPr>
                <w:noProof/>
                <w:webHidden/>
              </w:rPr>
              <w:tab/>
            </w:r>
            <w:r w:rsidR="002716B4">
              <w:rPr>
                <w:noProof/>
                <w:webHidden/>
              </w:rPr>
              <w:fldChar w:fldCharType="begin"/>
            </w:r>
            <w:r w:rsidR="002716B4">
              <w:rPr>
                <w:noProof/>
                <w:webHidden/>
              </w:rPr>
              <w:instrText xml:space="preserve"> PAGEREF _Toc65760317 \h </w:instrText>
            </w:r>
            <w:r w:rsidR="002716B4">
              <w:rPr>
                <w:noProof/>
                <w:webHidden/>
              </w:rPr>
            </w:r>
            <w:r w:rsidR="002716B4">
              <w:rPr>
                <w:noProof/>
                <w:webHidden/>
              </w:rPr>
              <w:fldChar w:fldCharType="separate"/>
            </w:r>
            <w:r w:rsidR="002716B4">
              <w:rPr>
                <w:noProof/>
                <w:webHidden/>
              </w:rPr>
              <w:t>24</w:t>
            </w:r>
            <w:r w:rsidR="002716B4">
              <w:rPr>
                <w:noProof/>
                <w:webHidden/>
              </w:rPr>
              <w:fldChar w:fldCharType="end"/>
            </w:r>
          </w:hyperlink>
        </w:p>
        <w:p w14:paraId="599E9BD0" w14:textId="4662A9C6" w:rsidR="002716B4" w:rsidRDefault="00F50ADF">
          <w:pPr>
            <w:pStyle w:val="11"/>
            <w:tabs>
              <w:tab w:val="left" w:pos="440"/>
              <w:tab w:val="right" w:leader="dot" w:pos="9629"/>
            </w:tabs>
            <w:rPr>
              <w:rFonts w:eastAsiaTheme="minorEastAsia"/>
              <w:noProof/>
              <w:lang w:val="uk-UA" w:eastAsia="uk-UA"/>
            </w:rPr>
          </w:pPr>
          <w:hyperlink w:anchor="_Toc65760318" w:history="1">
            <w:r w:rsidR="002716B4" w:rsidRPr="00E76625">
              <w:rPr>
                <w:rStyle w:val="a6"/>
                <w:rFonts w:cs="Times New Roman"/>
                <w:noProof/>
              </w:rPr>
              <w:t>6.</w:t>
            </w:r>
            <w:r w:rsidR="002716B4">
              <w:rPr>
                <w:rFonts w:eastAsiaTheme="minorEastAsia"/>
                <w:noProof/>
                <w:lang w:val="uk-UA" w:eastAsia="uk-UA"/>
              </w:rPr>
              <w:tab/>
            </w:r>
            <w:r w:rsidR="002716B4" w:rsidRPr="00E76625">
              <w:rPr>
                <w:rStyle w:val="a6"/>
                <w:rFonts w:cs="Times New Roman"/>
                <w:noProof/>
              </w:rPr>
              <w:t>Grievance redress</w:t>
            </w:r>
            <w:r w:rsidR="002716B4">
              <w:rPr>
                <w:noProof/>
                <w:webHidden/>
              </w:rPr>
              <w:tab/>
            </w:r>
            <w:r w:rsidR="002716B4">
              <w:rPr>
                <w:noProof/>
                <w:webHidden/>
              </w:rPr>
              <w:fldChar w:fldCharType="begin"/>
            </w:r>
            <w:r w:rsidR="002716B4">
              <w:rPr>
                <w:noProof/>
                <w:webHidden/>
              </w:rPr>
              <w:instrText xml:space="preserve"> PAGEREF _Toc65760318 \h </w:instrText>
            </w:r>
            <w:r w:rsidR="002716B4">
              <w:rPr>
                <w:noProof/>
                <w:webHidden/>
              </w:rPr>
            </w:r>
            <w:r w:rsidR="002716B4">
              <w:rPr>
                <w:noProof/>
                <w:webHidden/>
              </w:rPr>
              <w:fldChar w:fldCharType="separate"/>
            </w:r>
            <w:r w:rsidR="002716B4">
              <w:rPr>
                <w:noProof/>
                <w:webHidden/>
              </w:rPr>
              <w:t>24</w:t>
            </w:r>
            <w:r w:rsidR="002716B4">
              <w:rPr>
                <w:noProof/>
                <w:webHidden/>
              </w:rPr>
              <w:fldChar w:fldCharType="end"/>
            </w:r>
          </w:hyperlink>
        </w:p>
        <w:p w14:paraId="34CC5B12" w14:textId="7B4E50F5" w:rsidR="002716B4" w:rsidRDefault="00F50ADF">
          <w:pPr>
            <w:pStyle w:val="11"/>
            <w:tabs>
              <w:tab w:val="right" w:leader="dot" w:pos="9629"/>
            </w:tabs>
            <w:rPr>
              <w:rFonts w:eastAsiaTheme="minorEastAsia"/>
              <w:noProof/>
              <w:lang w:val="uk-UA" w:eastAsia="uk-UA"/>
            </w:rPr>
          </w:pPr>
          <w:hyperlink w:anchor="_Toc65760319" w:history="1">
            <w:r w:rsidR="002716B4" w:rsidRPr="00E76625">
              <w:rPr>
                <w:rStyle w:val="a6"/>
                <w:rFonts w:cs="Times New Roman"/>
                <w:noProof/>
              </w:rPr>
              <w:t>6.1 Definition of the GRM</w:t>
            </w:r>
            <w:r w:rsidR="002716B4">
              <w:rPr>
                <w:noProof/>
                <w:webHidden/>
              </w:rPr>
              <w:tab/>
            </w:r>
            <w:r w:rsidR="002716B4">
              <w:rPr>
                <w:noProof/>
                <w:webHidden/>
              </w:rPr>
              <w:fldChar w:fldCharType="begin"/>
            </w:r>
            <w:r w:rsidR="002716B4">
              <w:rPr>
                <w:noProof/>
                <w:webHidden/>
              </w:rPr>
              <w:instrText xml:space="preserve"> PAGEREF _Toc65760319 \h </w:instrText>
            </w:r>
            <w:r w:rsidR="002716B4">
              <w:rPr>
                <w:noProof/>
                <w:webHidden/>
              </w:rPr>
            </w:r>
            <w:r w:rsidR="002716B4">
              <w:rPr>
                <w:noProof/>
                <w:webHidden/>
              </w:rPr>
              <w:fldChar w:fldCharType="separate"/>
            </w:r>
            <w:r w:rsidR="002716B4">
              <w:rPr>
                <w:noProof/>
                <w:webHidden/>
              </w:rPr>
              <w:t>24</w:t>
            </w:r>
            <w:r w:rsidR="002716B4">
              <w:rPr>
                <w:noProof/>
                <w:webHidden/>
              </w:rPr>
              <w:fldChar w:fldCharType="end"/>
            </w:r>
          </w:hyperlink>
        </w:p>
        <w:p w14:paraId="1ECE9995" w14:textId="2F81C680" w:rsidR="002716B4" w:rsidRDefault="00F50ADF">
          <w:pPr>
            <w:pStyle w:val="11"/>
            <w:tabs>
              <w:tab w:val="right" w:leader="dot" w:pos="9629"/>
            </w:tabs>
            <w:rPr>
              <w:rFonts w:eastAsiaTheme="minorEastAsia"/>
              <w:noProof/>
              <w:lang w:val="uk-UA" w:eastAsia="uk-UA"/>
            </w:rPr>
          </w:pPr>
          <w:hyperlink w:anchor="_Toc65760320" w:history="1">
            <w:r w:rsidR="002716B4" w:rsidRPr="00E76625">
              <w:rPr>
                <w:rStyle w:val="a6"/>
                <w:rFonts w:cs="Times New Roman"/>
                <w:noProof/>
              </w:rPr>
              <w:t>6.2 GRM Scope and Use</w:t>
            </w:r>
            <w:r w:rsidR="002716B4">
              <w:rPr>
                <w:noProof/>
                <w:webHidden/>
              </w:rPr>
              <w:tab/>
            </w:r>
            <w:r w:rsidR="002716B4">
              <w:rPr>
                <w:noProof/>
                <w:webHidden/>
              </w:rPr>
              <w:fldChar w:fldCharType="begin"/>
            </w:r>
            <w:r w:rsidR="002716B4">
              <w:rPr>
                <w:noProof/>
                <w:webHidden/>
              </w:rPr>
              <w:instrText xml:space="preserve"> PAGEREF _Toc65760320 \h </w:instrText>
            </w:r>
            <w:r w:rsidR="002716B4">
              <w:rPr>
                <w:noProof/>
                <w:webHidden/>
              </w:rPr>
            </w:r>
            <w:r w:rsidR="002716B4">
              <w:rPr>
                <w:noProof/>
                <w:webHidden/>
              </w:rPr>
              <w:fldChar w:fldCharType="separate"/>
            </w:r>
            <w:r w:rsidR="002716B4">
              <w:rPr>
                <w:noProof/>
                <w:webHidden/>
              </w:rPr>
              <w:t>25</w:t>
            </w:r>
            <w:r w:rsidR="002716B4">
              <w:rPr>
                <w:noProof/>
                <w:webHidden/>
              </w:rPr>
              <w:fldChar w:fldCharType="end"/>
            </w:r>
          </w:hyperlink>
        </w:p>
        <w:p w14:paraId="76E6AD03" w14:textId="0CA61D4A" w:rsidR="002716B4" w:rsidRDefault="00F50ADF">
          <w:pPr>
            <w:pStyle w:val="11"/>
            <w:tabs>
              <w:tab w:val="left" w:pos="660"/>
              <w:tab w:val="right" w:leader="dot" w:pos="9629"/>
            </w:tabs>
            <w:rPr>
              <w:rFonts w:eastAsiaTheme="minorEastAsia"/>
              <w:noProof/>
              <w:lang w:val="uk-UA" w:eastAsia="uk-UA"/>
            </w:rPr>
          </w:pPr>
          <w:hyperlink w:anchor="_Toc65760321" w:history="1">
            <w:r w:rsidR="002716B4" w:rsidRPr="00E76625">
              <w:rPr>
                <w:rStyle w:val="a6"/>
                <w:rFonts w:cs="Times New Roman"/>
                <w:noProof/>
              </w:rPr>
              <w:t>6.3</w:t>
            </w:r>
            <w:r w:rsidR="002716B4">
              <w:rPr>
                <w:rFonts w:eastAsiaTheme="minorEastAsia"/>
                <w:noProof/>
                <w:lang w:val="uk-UA" w:eastAsia="uk-UA"/>
              </w:rPr>
              <w:tab/>
            </w:r>
            <w:r w:rsidR="002716B4" w:rsidRPr="00E76625">
              <w:rPr>
                <w:rStyle w:val="a6"/>
                <w:rFonts w:cs="Times New Roman"/>
                <w:noProof/>
              </w:rPr>
              <w:t>Procedures and Channels to Make Complaints</w:t>
            </w:r>
            <w:r w:rsidR="002716B4">
              <w:rPr>
                <w:noProof/>
                <w:webHidden/>
              </w:rPr>
              <w:tab/>
            </w:r>
            <w:r w:rsidR="002716B4">
              <w:rPr>
                <w:noProof/>
                <w:webHidden/>
              </w:rPr>
              <w:fldChar w:fldCharType="begin"/>
            </w:r>
            <w:r w:rsidR="002716B4">
              <w:rPr>
                <w:noProof/>
                <w:webHidden/>
              </w:rPr>
              <w:instrText xml:space="preserve"> PAGEREF _Toc65760321 \h </w:instrText>
            </w:r>
            <w:r w:rsidR="002716B4">
              <w:rPr>
                <w:noProof/>
                <w:webHidden/>
              </w:rPr>
            </w:r>
            <w:r w:rsidR="002716B4">
              <w:rPr>
                <w:noProof/>
                <w:webHidden/>
              </w:rPr>
              <w:fldChar w:fldCharType="separate"/>
            </w:r>
            <w:r w:rsidR="002716B4">
              <w:rPr>
                <w:noProof/>
                <w:webHidden/>
              </w:rPr>
              <w:t>25</w:t>
            </w:r>
            <w:r w:rsidR="002716B4">
              <w:rPr>
                <w:noProof/>
                <w:webHidden/>
              </w:rPr>
              <w:fldChar w:fldCharType="end"/>
            </w:r>
          </w:hyperlink>
        </w:p>
        <w:p w14:paraId="0A883BA9" w14:textId="31654D04" w:rsidR="002716B4" w:rsidRDefault="00F50ADF">
          <w:pPr>
            <w:pStyle w:val="21"/>
            <w:tabs>
              <w:tab w:val="right" w:leader="dot" w:pos="9629"/>
            </w:tabs>
            <w:rPr>
              <w:rFonts w:eastAsiaTheme="minorEastAsia"/>
              <w:noProof/>
              <w:lang w:val="uk-UA" w:eastAsia="uk-UA"/>
            </w:rPr>
          </w:pPr>
          <w:hyperlink w:anchor="_Toc65760322" w:history="1">
            <w:r w:rsidR="002716B4" w:rsidRPr="00E76625">
              <w:rPr>
                <w:rStyle w:val="a6"/>
                <w:rFonts w:ascii="Times New Roman" w:hAnsi="Times New Roman" w:cs="Times New Roman"/>
                <w:noProof/>
              </w:rPr>
              <w:t>6.3.1 Confidentiality and conflict of interest</w:t>
            </w:r>
            <w:r w:rsidR="002716B4">
              <w:rPr>
                <w:noProof/>
                <w:webHidden/>
              </w:rPr>
              <w:tab/>
            </w:r>
            <w:r w:rsidR="002716B4">
              <w:rPr>
                <w:noProof/>
                <w:webHidden/>
              </w:rPr>
              <w:fldChar w:fldCharType="begin"/>
            </w:r>
            <w:r w:rsidR="002716B4">
              <w:rPr>
                <w:noProof/>
                <w:webHidden/>
              </w:rPr>
              <w:instrText xml:space="preserve"> PAGEREF _Toc65760322 \h </w:instrText>
            </w:r>
            <w:r w:rsidR="002716B4">
              <w:rPr>
                <w:noProof/>
                <w:webHidden/>
              </w:rPr>
            </w:r>
            <w:r w:rsidR="002716B4">
              <w:rPr>
                <w:noProof/>
                <w:webHidden/>
              </w:rPr>
              <w:fldChar w:fldCharType="separate"/>
            </w:r>
            <w:r w:rsidR="002716B4">
              <w:rPr>
                <w:noProof/>
                <w:webHidden/>
              </w:rPr>
              <w:t>27</w:t>
            </w:r>
            <w:r w:rsidR="002716B4">
              <w:rPr>
                <w:noProof/>
                <w:webHidden/>
              </w:rPr>
              <w:fldChar w:fldCharType="end"/>
            </w:r>
          </w:hyperlink>
        </w:p>
        <w:p w14:paraId="276587B4" w14:textId="706FCD72" w:rsidR="002716B4" w:rsidRDefault="00F50ADF">
          <w:pPr>
            <w:pStyle w:val="21"/>
            <w:tabs>
              <w:tab w:val="right" w:leader="dot" w:pos="9629"/>
            </w:tabs>
            <w:rPr>
              <w:rFonts w:eastAsiaTheme="minorEastAsia"/>
              <w:noProof/>
              <w:lang w:val="uk-UA" w:eastAsia="uk-UA"/>
            </w:rPr>
          </w:pPr>
          <w:hyperlink w:anchor="_Toc65760323" w:history="1">
            <w:r w:rsidR="002716B4" w:rsidRPr="00E76625">
              <w:rPr>
                <w:rStyle w:val="a6"/>
                <w:rFonts w:ascii="Times New Roman" w:hAnsi="Times New Roman" w:cs="Times New Roman"/>
                <w:noProof/>
              </w:rPr>
              <w:t>6.3.2 Receipt and recording of complaints</w:t>
            </w:r>
            <w:r w:rsidR="002716B4">
              <w:rPr>
                <w:noProof/>
                <w:webHidden/>
              </w:rPr>
              <w:tab/>
            </w:r>
            <w:r w:rsidR="002716B4">
              <w:rPr>
                <w:noProof/>
                <w:webHidden/>
              </w:rPr>
              <w:fldChar w:fldCharType="begin"/>
            </w:r>
            <w:r w:rsidR="002716B4">
              <w:rPr>
                <w:noProof/>
                <w:webHidden/>
              </w:rPr>
              <w:instrText xml:space="preserve"> PAGEREF _Toc65760323 \h </w:instrText>
            </w:r>
            <w:r w:rsidR="002716B4">
              <w:rPr>
                <w:noProof/>
                <w:webHidden/>
              </w:rPr>
            </w:r>
            <w:r w:rsidR="002716B4">
              <w:rPr>
                <w:noProof/>
                <w:webHidden/>
              </w:rPr>
              <w:fldChar w:fldCharType="separate"/>
            </w:r>
            <w:r w:rsidR="002716B4">
              <w:rPr>
                <w:noProof/>
                <w:webHidden/>
              </w:rPr>
              <w:t>27</w:t>
            </w:r>
            <w:r w:rsidR="002716B4">
              <w:rPr>
                <w:noProof/>
                <w:webHidden/>
              </w:rPr>
              <w:fldChar w:fldCharType="end"/>
            </w:r>
          </w:hyperlink>
        </w:p>
        <w:p w14:paraId="7D13DEE7" w14:textId="2F6B4B14" w:rsidR="002716B4" w:rsidRDefault="00F50ADF">
          <w:pPr>
            <w:pStyle w:val="21"/>
            <w:tabs>
              <w:tab w:val="right" w:leader="dot" w:pos="9629"/>
            </w:tabs>
            <w:rPr>
              <w:rFonts w:eastAsiaTheme="minorEastAsia"/>
              <w:noProof/>
              <w:lang w:val="uk-UA" w:eastAsia="uk-UA"/>
            </w:rPr>
          </w:pPr>
          <w:hyperlink w:anchor="_Toc65760324" w:history="1">
            <w:r w:rsidR="002716B4" w:rsidRPr="00E76625">
              <w:rPr>
                <w:rStyle w:val="a6"/>
                <w:rFonts w:ascii="Times New Roman" w:hAnsi="Times New Roman" w:cs="Times New Roman"/>
                <w:noProof/>
              </w:rPr>
              <w:t>6.3.3 Investigation</w:t>
            </w:r>
            <w:r w:rsidR="002716B4">
              <w:rPr>
                <w:noProof/>
                <w:webHidden/>
              </w:rPr>
              <w:tab/>
            </w:r>
            <w:r w:rsidR="002716B4">
              <w:rPr>
                <w:noProof/>
                <w:webHidden/>
              </w:rPr>
              <w:fldChar w:fldCharType="begin"/>
            </w:r>
            <w:r w:rsidR="002716B4">
              <w:rPr>
                <w:noProof/>
                <w:webHidden/>
              </w:rPr>
              <w:instrText xml:space="preserve"> PAGEREF _Toc65760324 \h </w:instrText>
            </w:r>
            <w:r w:rsidR="002716B4">
              <w:rPr>
                <w:noProof/>
                <w:webHidden/>
              </w:rPr>
            </w:r>
            <w:r w:rsidR="002716B4">
              <w:rPr>
                <w:noProof/>
                <w:webHidden/>
              </w:rPr>
              <w:fldChar w:fldCharType="separate"/>
            </w:r>
            <w:r w:rsidR="002716B4">
              <w:rPr>
                <w:noProof/>
                <w:webHidden/>
              </w:rPr>
              <w:t>27</w:t>
            </w:r>
            <w:r w:rsidR="002716B4">
              <w:rPr>
                <w:noProof/>
                <w:webHidden/>
              </w:rPr>
              <w:fldChar w:fldCharType="end"/>
            </w:r>
          </w:hyperlink>
        </w:p>
        <w:p w14:paraId="7E5B2DF0" w14:textId="2DCE5634" w:rsidR="002716B4" w:rsidRDefault="00F50ADF">
          <w:pPr>
            <w:pStyle w:val="21"/>
            <w:tabs>
              <w:tab w:val="right" w:leader="dot" w:pos="9629"/>
            </w:tabs>
            <w:rPr>
              <w:rFonts w:eastAsiaTheme="minorEastAsia"/>
              <w:noProof/>
              <w:lang w:val="uk-UA" w:eastAsia="uk-UA"/>
            </w:rPr>
          </w:pPr>
          <w:hyperlink w:anchor="_Toc65760325" w:history="1">
            <w:r w:rsidR="002716B4" w:rsidRPr="00E76625">
              <w:rPr>
                <w:rStyle w:val="a6"/>
                <w:rFonts w:ascii="Times New Roman" w:hAnsi="Times New Roman" w:cs="Times New Roman"/>
                <w:noProof/>
              </w:rPr>
              <w:t>6.3.4 Response to complainant</w:t>
            </w:r>
            <w:r w:rsidR="002716B4">
              <w:rPr>
                <w:noProof/>
                <w:webHidden/>
              </w:rPr>
              <w:tab/>
            </w:r>
            <w:r w:rsidR="002716B4">
              <w:rPr>
                <w:noProof/>
                <w:webHidden/>
              </w:rPr>
              <w:fldChar w:fldCharType="begin"/>
            </w:r>
            <w:r w:rsidR="002716B4">
              <w:rPr>
                <w:noProof/>
                <w:webHidden/>
              </w:rPr>
              <w:instrText xml:space="preserve"> PAGEREF _Toc65760325 \h </w:instrText>
            </w:r>
            <w:r w:rsidR="002716B4">
              <w:rPr>
                <w:noProof/>
                <w:webHidden/>
              </w:rPr>
            </w:r>
            <w:r w:rsidR="002716B4">
              <w:rPr>
                <w:noProof/>
                <w:webHidden/>
              </w:rPr>
              <w:fldChar w:fldCharType="separate"/>
            </w:r>
            <w:r w:rsidR="002716B4">
              <w:rPr>
                <w:noProof/>
                <w:webHidden/>
              </w:rPr>
              <w:t>28</w:t>
            </w:r>
            <w:r w:rsidR="002716B4">
              <w:rPr>
                <w:noProof/>
                <w:webHidden/>
              </w:rPr>
              <w:fldChar w:fldCharType="end"/>
            </w:r>
          </w:hyperlink>
        </w:p>
        <w:p w14:paraId="0AFE514B" w14:textId="73B488D3" w:rsidR="002716B4" w:rsidRDefault="00F50ADF">
          <w:pPr>
            <w:pStyle w:val="11"/>
            <w:tabs>
              <w:tab w:val="right" w:leader="dot" w:pos="9629"/>
            </w:tabs>
            <w:rPr>
              <w:rFonts w:eastAsiaTheme="minorEastAsia"/>
              <w:noProof/>
              <w:lang w:val="uk-UA" w:eastAsia="uk-UA"/>
            </w:rPr>
          </w:pPr>
          <w:hyperlink w:anchor="_Toc65760326" w:history="1">
            <w:r w:rsidR="002716B4" w:rsidRPr="00E76625">
              <w:rPr>
                <w:rStyle w:val="a6"/>
                <w:rFonts w:cs="Times New Roman"/>
                <w:noProof/>
              </w:rPr>
              <w:t>6.4 Awareness Building</w:t>
            </w:r>
            <w:r w:rsidR="002716B4">
              <w:rPr>
                <w:noProof/>
                <w:webHidden/>
              </w:rPr>
              <w:tab/>
            </w:r>
            <w:r w:rsidR="002716B4">
              <w:rPr>
                <w:noProof/>
                <w:webHidden/>
              </w:rPr>
              <w:fldChar w:fldCharType="begin"/>
            </w:r>
            <w:r w:rsidR="002716B4">
              <w:rPr>
                <w:noProof/>
                <w:webHidden/>
              </w:rPr>
              <w:instrText xml:space="preserve"> PAGEREF _Toc65760326 \h </w:instrText>
            </w:r>
            <w:r w:rsidR="002716B4">
              <w:rPr>
                <w:noProof/>
                <w:webHidden/>
              </w:rPr>
            </w:r>
            <w:r w:rsidR="002716B4">
              <w:rPr>
                <w:noProof/>
                <w:webHidden/>
              </w:rPr>
              <w:fldChar w:fldCharType="separate"/>
            </w:r>
            <w:r w:rsidR="002716B4">
              <w:rPr>
                <w:noProof/>
                <w:webHidden/>
              </w:rPr>
              <w:t>28</w:t>
            </w:r>
            <w:r w:rsidR="002716B4">
              <w:rPr>
                <w:noProof/>
                <w:webHidden/>
              </w:rPr>
              <w:fldChar w:fldCharType="end"/>
            </w:r>
          </w:hyperlink>
        </w:p>
        <w:p w14:paraId="59815C86" w14:textId="322BFAD2" w:rsidR="002716B4" w:rsidRDefault="00F50ADF">
          <w:pPr>
            <w:pStyle w:val="11"/>
            <w:tabs>
              <w:tab w:val="right" w:leader="dot" w:pos="9629"/>
            </w:tabs>
            <w:rPr>
              <w:rFonts w:eastAsiaTheme="minorEastAsia"/>
              <w:noProof/>
              <w:lang w:val="uk-UA" w:eastAsia="uk-UA"/>
            </w:rPr>
          </w:pPr>
          <w:hyperlink w:anchor="_Toc65760327" w:history="1">
            <w:r w:rsidR="002716B4" w:rsidRPr="00E76625">
              <w:rPr>
                <w:rStyle w:val="a6"/>
                <w:rFonts w:cs="Times New Roman"/>
                <w:noProof/>
              </w:rPr>
              <w:t>6.5 Staffing and Capacity Building</w:t>
            </w:r>
            <w:r w:rsidR="002716B4">
              <w:rPr>
                <w:noProof/>
                <w:webHidden/>
              </w:rPr>
              <w:tab/>
            </w:r>
            <w:r w:rsidR="002716B4">
              <w:rPr>
                <w:noProof/>
                <w:webHidden/>
              </w:rPr>
              <w:fldChar w:fldCharType="begin"/>
            </w:r>
            <w:r w:rsidR="002716B4">
              <w:rPr>
                <w:noProof/>
                <w:webHidden/>
              </w:rPr>
              <w:instrText xml:space="preserve"> PAGEREF _Toc65760327 \h </w:instrText>
            </w:r>
            <w:r w:rsidR="002716B4">
              <w:rPr>
                <w:noProof/>
                <w:webHidden/>
              </w:rPr>
            </w:r>
            <w:r w:rsidR="002716B4">
              <w:rPr>
                <w:noProof/>
                <w:webHidden/>
              </w:rPr>
              <w:fldChar w:fldCharType="separate"/>
            </w:r>
            <w:r w:rsidR="002716B4">
              <w:rPr>
                <w:noProof/>
                <w:webHidden/>
              </w:rPr>
              <w:t>28</w:t>
            </w:r>
            <w:r w:rsidR="002716B4">
              <w:rPr>
                <w:noProof/>
                <w:webHidden/>
              </w:rPr>
              <w:fldChar w:fldCharType="end"/>
            </w:r>
          </w:hyperlink>
        </w:p>
        <w:p w14:paraId="52C755F2" w14:textId="71904ABA" w:rsidR="002716B4" w:rsidRDefault="00F50ADF">
          <w:pPr>
            <w:pStyle w:val="11"/>
            <w:tabs>
              <w:tab w:val="right" w:leader="dot" w:pos="9629"/>
            </w:tabs>
            <w:rPr>
              <w:rFonts w:eastAsiaTheme="minorEastAsia"/>
              <w:noProof/>
              <w:lang w:val="uk-UA" w:eastAsia="uk-UA"/>
            </w:rPr>
          </w:pPr>
          <w:hyperlink w:anchor="_Toc65760328" w:history="1">
            <w:r w:rsidR="002716B4" w:rsidRPr="00E76625">
              <w:rPr>
                <w:rStyle w:val="a6"/>
                <w:rFonts w:cs="Times New Roman"/>
                <w:noProof/>
              </w:rPr>
              <w:t>6.6 Transparency, Monitoring and Reporting</w:t>
            </w:r>
            <w:r w:rsidR="002716B4">
              <w:rPr>
                <w:noProof/>
                <w:webHidden/>
              </w:rPr>
              <w:tab/>
            </w:r>
            <w:r w:rsidR="002716B4">
              <w:rPr>
                <w:noProof/>
                <w:webHidden/>
              </w:rPr>
              <w:fldChar w:fldCharType="begin"/>
            </w:r>
            <w:r w:rsidR="002716B4">
              <w:rPr>
                <w:noProof/>
                <w:webHidden/>
              </w:rPr>
              <w:instrText xml:space="preserve"> PAGEREF _Toc65760328 \h </w:instrText>
            </w:r>
            <w:r w:rsidR="002716B4">
              <w:rPr>
                <w:noProof/>
                <w:webHidden/>
              </w:rPr>
            </w:r>
            <w:r w:rsidR="002716B4">
              <w:rPr>
                <w:noProof/>
                <w:webHidden/>
              </w:rPr>
              <w:fldChar w:fldCharType="separate"/>
            </w:r>
            <w:r w:rsidR="002716B4">
              <w:rPr>
                <w:noProof/>
                <w:webHidden/>
              </w:rPr>
              <w:t>29</w:t>
            </w:r>
            <w:r w:rsidR="002716B4">
              <w:rPr>
                <w:noProof/>
                <w:webHidden/>
              </w:rPr>
              <w:fldChar w:fldCharType="end"/>
            </w:r>
          </w:hyperlink>
        </w:p>
        <w:p w14:paraId="443919E1" w14:textId="6CB40C98" w:rsidR="002716B4" w:rsidRDefault="00F50ADF">
          <w:pPr>
            <w:pStyle w:val="21"/>
            <w:tabs>
              <w:tab w:val="right" w:leader="dot" w:pos="9629"/>
            </w:tabs>
            <w:rPr>
              <w:rFonts w:eastAsiaTheme="minorEastAsia"/>
              <w:noProof/>
              <w:lang w:val="uk-UA" w:eastAsia="uk-UA"/>
            </w:rPr>
          </w:pPr>
          <w:hyperlink w:anchor="_Toc65760329" w:history="1">
            <w:r w:rsidR="002716B4" w:rsidRPr="00E76625">
              <w:rPr>
                <w:rStyle w:val="a6"/>
                <w:rFonts w:ascii="Times New Roman" w:hAnsi="Times New Roman" w:cs="Times New Roman"/>
                <w:noProof/>
                <w:lang w:val="uk-UA"/>
              </w:rPr>
              <w:t>6.6.1  Grievance Logs</w:t>
            </w:r>
            <w:r w:rsidR="002716B4">
              <w:rPr>
                <w:noProof/>
                <w:webHidden/>
              </w:rPr>
              <w:tab/>
            </w:r>
            <w:r w:rsidR="002716B4">
              <w:rPr>
                <w:noProof/>
                <w:webHidden/>
              </w:rPr>
              <w:fldChar w:fldCharType="begin"/>
            </w:r>
            <w:r w:rsidR="002716B4">
              <w:rPr>
                <w:noProof/>
                <w:webHidden/>
              </w:rPr>
              <w:instrText xml:space="preserve"> PAGEREF _Toc65760329 \h </w:instrText>
            </w:r>
            <w:r w:rsidR="002716B4">
              <w:rPr>
                <w:noProof/>
                <w:webHidden/>
              </w:rPr>
            </w:r>
            <w:r w:rsidR="002716B4">
              <w:rPr>
                <w:noProof/>
                <w:webHidden/>
              </w:rPr>
              <w:fldChar w:fldCharType="separate"/>
            </w:r>
            <w:r w:rsidR="002716B4">
              <w:rPr>
                <w:noProof/>
                <w:webHidden/>
              </w:rPr>
              <w:t>29</w:t>
            </w:r>
            <w:r w:rsidR="002716B4">
              <w:rPr>
                <w:noProof/>
                <w:webHidden/>
              </w:rPr>
              <w:fldChar w:fldCharType="end"/>
            </w:r>
          </w:hyperlink>
        </w:p>
        <w:p w14:paraId="5DA294F8" w14:textId="7EC63016" w:rsidR="002716B4" w:rsidRDefault="00F50ADF">
          <w:pPr>
            <w:pStyle w:val="21"/>
            <w:tabs>
              <w:tab w:val="right" w:leader="dot" w:pos="9629"/>
            </w:tabs>
            <w:rPr>
              <w:rFonts w:eastAsiaTheme="minorEastAsia"/>
              <w:noProof/>
              <w:lang w:val="uk-UA" w:eastAsia="uk-UA"/>
            </w:rPr>
          </w:pPr>
          <w:hyperlink w:anchor="_Toc65760330" w:history="1">
            <w:r w:rsidR="002716B4" w:rsidRPr="00E76625">
              <w:rPr>
                <w:rStyle w:val="a6"/>
                <w:rFonts w:ascii="Times New Roman" w:hAnsi="Times New Roman" w:cs="Times New Roman"/>
                <w:noProof/>
              </w:rPr>
              <w:t>6.6.2 Regular internal monitoring and reporting</w:t>
            </w:r>
            <w:r w:rsidR="002716B4">
              <w:rPr>
                <w:noProof/>
                <w:webHidden/>
              </w:rPr>
              <w:tab/>
            </w:r>
            <w:r w:rsidR="002716B4">
              <w:rPr>
                <w:noProof/>
                <w:webHidden/>
              </w:rPr>
              <w:fldChar w:fldCharType="begin"/>
            </w:r>
            <w:r w:rsidR="002716B4">
              <w:rPr>
                <w:noProof/>
                <w:webHidden/>
              </w:rPr>
              <w:instrText xml:space="preserve"> PAGEREF _Toc65760330 \h </w:instrText>
            </w:r>
            <w:r w:rsidR="002716B4">
              <w:rPr>
                <w:noProof/>
                <w:webHidden/>
              </w:rPr>
            </w:r>
            <w:r w:rsidR="002716B4">
              <w:rPr>
                <w:noProof/>
                <w:webHidden/>
              </w:rPr>
              <w:fldChar w:fldCharType="separate"/>
            </w:r>
            <w:r w:rsidR="002716B4">
              <w:rPr>
                <w:noProof/>
                <w:webHidden/>
              </w:rPr>
              <w:t>29</w:t>
            </w:r>
            <w:r w:rsidR="002716B4">
              <w:rPr>
                <w:noProof/>
                <w:webHidden/>
              </w:rPr>
              <w:fldChar w:fldCharType="end"/>
            </w:r>
          </w:hyperlink>
        </w:p>
        <w:p w14:paraId="4139CBD4" w14:textId="06C3B6F2" w:rsidR="002716B4" w:rsidRDefault="00F50ADF">
          <w:pPr>
            <w:pStyle w:val="21"/>
            <w:tabs>
              <w:tab w:val="right" w:leader="dot" w:pos="9629"/>
            </w:tabs>
            <w:rPr>
              <w:rFonts w:eastAsiaTheme="minorEastAsia"/>
              <w:noProof/>
              <w:lang w:val="uk-UA" w:eastAsia="uk-UA"/>
            </w:rPr>
          </w:pPr>
          <w:hyperlink w:anchor="_Toc65760331" w:history="1">
            <w:r w:rsidR="002716B4" w:rsidRPr="00E76625">
              <w:rPr>
                <w:rStyle w:val="a6"/>
                <w:rFonts w:ascii="Times New Roman" w:hAnsi="Times New Roman" w:cs="Times New Roman"/>
                <w:noProof/>
                <w:lang w:val="uk-UA"/>
              </w:rPr>
              <w:t xml:space="preserve">6.6.3 </w:t>
            </w:r>
            <w:r w:rsidR="002716B4" w:rsidRPr="00E76625">
              <w:rPr>
                <w:rStyle w:val="a6"/>
                <w:rFonts w:ascii="Times New Roman" w:hAnsi="Times New Roman" w:cs="Times New Roman"/>
                <w:noProof/>
              </w:rPr>
              <w:t>Reporting in half-yearly and annual progress reports submitted to the World Bank</w:t>
            </w:r>
            <w:r w:rsidR="002716B4">
              <w:rPr>
                <w:noProof/>
                <w:webHidden/>
              </w:rPr>
              <w:tab/>
            </w:r>
            <w:r w:rsidR="002716B4">
              <w:rPr>
                <w:noProof/>
                <w:webHidden/>
              </w:rPr>
              <w:fldChar w:fldCharType="begin"/>
            </w:r>
            <w:r w:rsidR="002716B4">
              <w:rPr>
                <w:noProof/>
                <w:webHidden/>
              </w:rPr>
              <w:instrText xml:space="preserve"> PAGEREF _Toc65760331 \h </w:instrText>
            </w:r>
            <w:r w:rsidR="002716B4">
              <w:rPr>
                <w:noProof/>
                <w:webHidden/>
              </w:rPr>
            </w:r>
            <w:r w:rsidR="002716B4">
              <w:rPr>
                <w:noProof/>
                <w:webHidden/>
              </w:rPr>
              <w:fldChar w:fldCharType="separate"/>
            </w:r>
            <w:r w:rsidR="002716B4">
              <w:rPr>
                <w:noProof/>
                <w:webHidden/>
              </w:rPr>
              <w:t>29</w:t>
            </w:r>
            <w:r w:rsidR="002716B4">
              <w:rPr>
                <w:noProof/>
                <w:webHidden/>
              </w:rPr>
              <w:fldChar w:fldCharType="end"/>
            </w:r>
          </w:hyperlink>
        </w:p>
        <w:p w14:paraId="614D66C5" w14:textId="58860444" w:rsidR="002716B4" w:rsidRDefault="00F50ADF">
          <w:pPr>
            <w:pStyle w:val="11"/>
            <w:tabs>
              <w:tab w:val="right" w:leader="dot" w:pos="9629"/>
            </w:tabs>
            <w:rPr>
              <w:rFonts w:eastAsiaTheme="minorEastAsia"/>
              <w:noProof/>
              <w:lang w:val="uk-UA" w:eastAsia="uk-UA"/>
            </w:rPr>
          </w:pPr>
          <w:hyperlink w:anchor="_Toc65760332" w:history="1">
            <w:r w:rsidR="002716B4" w:rsidRPr="00E76625">
              <w:rPr>
                <w:rStyle w:val="a6"/>
                <w:rFonts w:cs="Times New Roman"/>
                <w:noProof/>
              </w:rPr>
              <w:t>Annex 1. The grievance form</w:t>
            </w:r>
            <w:r w:rsidR="002716B4">
              <w:rPr>
                <w:noProof/>
                <w:webHidden/>
              </w:rPr>
              <w:tab/>
            </w:r>
            <w:r w:rsidR="002716B4">
              <w:rPr>
                <w:noProof/>
                <w:webHidden/>
              </w:rPr>
              <w:fldChar w:fldCharType="begin"/>
            </w:r>
            <w:r w:rsidR="002716B4">
              <w:rPr>
                <w:noProof/>
                <w:webHidden/>
              </w:rPr>
              <w:instrText xml:space="preserve"> PAGEREF _Toc65760332 \h </w:instrText>
            </w:r>
            <w:r w:rsidR="002716B4">
              <w:rPr>
                <w:noProof/>
                <w:webHidden/>
              </w:rPr>
            </w:r>
            <w:r w:rsidR="002716B4">
              <w:rPr>
                <w:noProof/>
                <w:webHidden/>
              </w:rPr>
              <w:fldChar w:fldCharType="separate"/>
            </w:r>
            <w:r w:rsidR="002716B4">
              <w:rPr>
                <w:noProof/>
                <w:webHidden/>
              </w:rPr>
              <w:t>30</w:t>
            </w:r>
            <w:r w:rsidR="002716B4">
              <w:rPr>
                <w:noProof/>
                <w:webHidden/>
              </w:rPr>
              <w:fldChar w:fldCharType="end"/>
            </w:r>
          </w:hyperlink>
        </w:p>
        <w:p w14:paraId="1694933F" w14:textId="716C7CD7" w:rsidR="0049522A" w:rsidRPr="00C176DF" w:rsidRDefault="00C176DF" w:rsidP="000A41D4">
          <w:pPr>
            <w:ind w:left="-284"/>
          </w:pPr>
          <w:r>
            <w:rPr>
              <w:b/>
              <w:bCs/>
              <w:noProof/>
            </w:rPr>
            <w:fldChar w:fldCharType="end"/>
          </w:r>
        </w:p>
      </w:sdtContent>
    </w:sdt>
    <w:p w14:paraId="5CE190FB" w14:textId="77777777" w:rsidR="006F56D4" w:rsidRPr="007518F8" w:rsidRDefault="0049522A" w:rsidP="000A41D4">
      <w:pPr>
        <w:pStyle w:val="1"/>
        <w:ind w:left="-284"/>
        <w:rPr>
          <w:rFonts w:cs="Times New Roman"/>
          <w:szCs w:val="24"/>
        </w:rPr>
      </w:pPr>
      <w:bookmarkStart w:id="0" w:name="_Toc65760299"/>
      <w:r w:rsidRPr="007518F8">
        <w:rPr>
          <w:rFonts w:cs="Times New Roman"/>
          <w:szCs w:val="24"/>
        </w:rPr>
        <w:lastRenderedPageBreak/>
        <w:t>List of abbreviations</w:t>
      </w:r>
      <w:bookmarkEnd w:id="0"/>
      <w:r w:rsidRPr="007518F8">
        <w:rPr>
          <w:rFonts w:cs="Times New Roman"/>
          <w:szCs w:val="24"/>
        </w:rPr>
        <w:t xml:space="preserve"> </w:t>
      </w:r>
    </w:p>
    <w:p w14:paraId="08BEE6CF" w14:textId="77777777" w:rsidR="001169A8" w:rsidRPr="007518F8" w:rsidRDefault="001169A8" w:rsidP="000A41D4">
      <w:pPr>
        <w:ind w:left="-284"/>
        <w:rPr>
          <w:rFonts w:ascii="Times New Roman" w:hAnsi="Times New Roman" w:cs="Times New Roman"/>
          <w:sz w:val="24"/>
          <w:szCs w:val="24"/>
        </w:rPr>
      </w:pPr>
    </w:p>
    <w:tbl>
      <w:tblPr>
        <w:tblStyle w:val="ac"/>
        <w:tblW w:w="9679" w:type="dxa"/>
        <w:tblLayout w:type="fixed"/>
        <w:tblLook w:val="04A0" w:firstRow="1" w:lastRow="0" w:firstColumn="1" w:lastColumn="0" w:noHBand="0" w:noVBand="1"/>
      </w:tblPr>
      <w:tblGrid>
        <w:gridCol w:w="1413"/>
        <w:gridCol w:w="8266"/>
      </w:tblGrid>
      <w:tr w:rsidR="00842BFC" w:rsidRPr="007518F8" w14:paraId="0FD676ED" w14:textId="77777777" w:rsidTr="002B6112">
        <w:tc>
          <w:tcPr>
            <w:tcW w:w="1413" w:type="dxa"/>
          </w:tcPr>
          <w:p w14:paraId="1EA941BB" w14:textId="2ABE1F17"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ESF</w:t>
            </w:r>
          </w:p>
        </w:tc>
        <w:tc>
          <w:tcPr>
            <w:tcW w:w="8266" w:type="dxa"/>
          </w:tcPr>
          <w:p w14:paraId="5E4B750E" w14:textId="06FB43AB"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Environmental and Social Framework</w:t>
            </w:r>
          </w:p>
        </w:tc>
      </w:tr>
      <w:tr w:rsidR="00842BFC" w:rsidRPr="007518F8" w14:paraId="5C322F57" w14:textId="77777777" w:rsidTr="002B6112">
        <w:tc>
          <w:tcPr>
            <w:tcW w:w="1413" w:type="dxa"/>
          </w:tcPr>
          <w:p w14:paraId="319D1799" w14:textId="51139C71" w:rsidR="00842BFC" w:rsidRPr="007518F8" w:rsidRDefault="00842BFC" w:rsidP="001C6166">
            <w:pPr>
              <w:ind w:left="-284"/>
              <w:jc w:val="center"/>
              <w:rPr>
                <w:rFonts w:ascii="Times New Roman" w:hAnsi="Times New Roman" w:cs="Times New Roman"/>
                <w:color w:val="000000"/>
                <w:sz w:val="24"/>
                <w:szCs w:val="24"/>
              </w:rPr>
            </w:pPr>
            <w:r w:rsidRPr="007518F8">
              <w:rPr>
                <w:rFonts w:ascii="Times New Roman" w:hAnsi="Times New Roman" w:cs="Times New Roman"/>
                <w:sz w:val="24"/>
                <w:szCs w:val="24"/>
              </w:rPr>
              <w:t>ESMF</w:t>
            </w:r>
          </w:p>
        </w:tc>
        <w:tc>
          <w:tcPr>
            <w:tcW w:w="8266" w:type="dxa"/>
          </w:tcPr>
          <w:p w14:paraId="729F1694" w14:textId="69BA840C" w:rsidR="00842BFC" w:rsidRPr="007518F8" w:rsidRDefault="00842BFC" w:rsidP="001C6166">
            <w:pPr>
              <w:ind w:left="-284"/>
              <w:jc w:val="center"/>
              <w:rPr>
                <w:rFonts w:ascii="Times New Roman" w:hAnsi="Times New Roman" w:cs="Times New Roman"/>
                <w:color w:val="000000"/>
                <w:sz w:val="24"/>
                <w:szCs w:val="24"/>
              </w:rPr>
            </w:pPr>
            <w:r w:rsidRPr="007518F8">
              <w:rPr>
                <w:rFonts w:ascii="Times New Roman" w:hAnsi="Times New Roman" w:cs="Times New Roman"/>
                <w:sz w:val="24"/>
                <w:szCs w:val="24"/>
              </w:rPr>
              <w:t>Environmental and Social Management Framework</w:t>
            </w:r>
          </w:p>
        </w:tc>
      </w:tr>
      <w:tr w:rsidR="00842BFC" w:rsidRPr="007518F8" w14:paraId="4753F091" w14:textId="77777777" w:rsidTr="002B6112">
        <w:tc>
          <w:tcPr>
            <w:tcW w:w="1413" w:type="dxa"/>
          </w:tcPr>
          <w:p w14:paraId="0C4EF4F3" w14:textId="51015067"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ESS</w:t>
            </w:r>
          </w:p>
        </w:tc>
        <w:tc>
          <w:tcPr>
            <w:tcW w:w="8266" w:type="dxa"/>
          </w:tcPr>
          <w:p w14:paraId="4C17C7AC" w14:textId="6A92BBE7"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Environmental and Social Standard</w:t>
            </w:r>
          </w:p>
        </w:tc>
      </w:tr>
      <w:tr w:rsidR="00842BFC" w:rsidRPr="007518F8" w14:paraId="0AF09A7E" w14:textId="77777777" w:rsidTr="002B6112">
        <w:tc>
          <w:tcPr>
            <w:tcW w:w="1413" w:type="dxa"/>
          </w:tcPr>
          <w:p w14:paraId="7A40D7C5" w14:textId="119A4102"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GAVI</w:t>
            </w:r>
          </w:p>
        </w:tc>
        <w:tc>
          <w:tcPr>
            <w:tcW w:w="8266" w:type="dxa"/>
          </w:tcPr>
          <w:p w14:paraId="24A28C64" w14:textId="10DEDA72"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The vaccine alliance</w:t>
            </w:r>
          </w:p>
        </w:tc>
      </w:tr>
      <w:tr w:rsidR="00842BFC" w:rsidRPr="007518F8" w14:paraId="63504E5D" w14:textId="77777777" w:rsidTr="002B6112">
        <w:tc>
          <w:tcPr>
            <w:tcW w:w="1413" w:type="dxa"/>
          </w:tcPr>
          <w:p w14:paraId="4B639629" w14:textId="4B2BDF0E" w:rsidR="00842BFC" w:rsidRPr="007518F8" w:rsidRDefault="00842BFC" w:rsidP="001C6166">
            <w:pPr>
              <w:ind w:left="-284"/>
              <w:jc w:val="center"/>
              <w:rPr>
                <w:rFonts w:ascii="Times New Roman" w:eastAsia="Times New Roman" w:hAnsi="Times New Roman" w:cs="Times New Roman"/>
                <w:color w:val="000000"/>
                <w:sz w:val="24"/>
                <w:szCs w:val="24"/>
              </w:rPr>
            </w:pPr>
            <w:r w:rsidRPr="007518F8">
              <w:rPr>
                <w:rFonts w:ascii="Times New Roman" w:hAnsi="Times New Roman" w:cs="Times New Roman"/>
                <w:sz w:val="24"/>
                <w:szCs w:val="24"/>
              </w:rPr>
              <w:t>GoU</w:t>
            </w:r>
          </w:p>
        </w:tc>
        <w:tc>
          <w:tcPr>
            <w:tcW w:w="8266" w:type="dxa"/>
          </w:tcPr>
          <w:p w14:paraId="46847A30" w14:textId="701E2819" w:rsidR="00842BFC" w:rsidRPr="007518F8" w:rsidRDefault="00842BFC" w:rsidP="001C6166">
            <w:pPr>
              <w:tabs>
                <w:tab w:val="left" w:pos="1140"/>
              </w:tabs>
              <w:ind w:left="-284"/>
              <w:jc w:val="center"/>
              <w:rPr>
                <w:rFonts w:ascii="Times New Roman" w:eastAsia="Times New Roman" w:hAnsi="Times New Roman" w:cs="Times New Roman"/>
                <w:color w:val="000000"/>
                <w:sz w:val="24"/>
                <w:szCs w:val="24"/>
              </w:rPr>
            </w:pPr>
            <w:r w:rsidRPr="007518F8">
              <w:rPr>
                <w:rFonts w:ascii="Times New Roman" w:hAnsi="Times New Roman" w:cs="Times New Roman"/>
                <w:sz w:val="24"/>
                <w:szCs w:val="24"/>
              </w:rPr>
              <w:t>Government of Ukraine</w:t>
            </w:r>
          </w:p>
        </w:tc>
      </w:tr>
      <w:tr w:rsidR="00842BFC" w:rsidRPr="007518F8" w14:paraId="34D12DA3" w14:textId="77777777" w:rsidTr="002B6112">
        <w:tc>
          <w:tcPr>
            <w:tcW w:w="1413" w:type="dxa"/>
          </w:tcPr>
          <w:p w14:paraId="1ADB3834" w14:textId="0C303623"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GPF</w:t>
            </w:r>
          </w:p>
        </w:tc>
        <w:tc>
          <w:tcPr>
            <w:tcW w:w="8266" w:type="dxa"/>
          </w:tcPr>
          <w:p w14:paraId="6707E460" w14:textId="705FBBD4"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Grievances Focal Points.</w:t>
            </w:r>
          </w:p>
        </w:tc>
      </w:tr>
      <w:tr w:rsidR="00842BFC" w:rsidRPr="007518F8" w14:paraId="07377572" w14:textId="77777777" w:rsidTr="002B6112">
        <w:tc>
          <w:tcPr>
            <w:tcW w:w="1413" w:type="dxa"/>
          </w:tcPr>
          <w:p w14:paraId="57D09C3B" w14:textId="28CCD086"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GRM</w:t>
            </w:r>
          </w:p>
        </w:tc>
        <w:tc>
          <w:tcPr>
            <w:tcW w:w="8266" w:type="dxa"/>
          </w:tcPr>
          <w:p w14:paraId="7906715A" w14:textId="4349D9D9" w:rsidR="00842BFC" w:rsidRPr="007518F8" w:rsidRDefault="00842BFC" w:rsidP="001C6166">
            <w:pPr>
              <w:ind w:left="-284"/>
              <w:jc w:val="center"/>
              <w:rPr>
                <w:rFonts w:ascii="Times New Roman" w:eastAsia="Times New Roman" w:hAnsi="Times New Roman" w:cs="Times New Roman"/>
                <w:color w:val="000000"/>
                <w:sz w:val="24"/>
                <w:szCs w:val="24"/>
              </w:rPr>
            </w:pPr>
            <w:r w:rsidRPr="007518F8">
              <w:rPr>
                <w:rFonts w:ascii="Times New Roman" w:hAnsi="Times New Roman" w:cs="Times New Roman"/>
                <w:sz w:val="24"/>
                <w:szCs w:val="24"/>
              </w:rPr>
              <w:t>Grievance Redress Mechanism</w:t>
            </w:r>
          </w:p>
        </w:tc>
      </w:tr>
      <w:tr w:rsidR="00842BFC" w:rsidRPr="007518F8" w14:paraId="26BBE9AC" w14:textId="77777777" w:rsidTr="002B6112">
        <w:tc>
          <w:tcPr>
            <w:tcW w:w="1413" w:type="dxa"/>
          </w:tcPr>
          <w:p w14:paraId="75A151AE" w14:textId="7824FAE3"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LMP</w:t>
            </w:r>
          </w:p>
        </w:tc>
        <w:tc>
          <w:tcPr>
            <w:tcW w:w="8266" w:type="dxa"/>
          </w:tcPr>
          <w:p w14:paraId="48C7740D" w14:textId="1A3A0BBB" w:rsidR="00842BFC" w:rsidRPr="007518F8" w:rsidRDefault="00842BFC" w:rsidP="001C6166">
            <w:pPr>
              <w:ind w:left="-284"/>
              <w:jc w:val="center"/>
              <w:rPr>
                <w:rFonts w:ascii="Times New Roman" w:hAnsi="Times New Roman" w:cs="Times New Roman"/>
                <w:sz w:val="24"/>
                <w:szCs w:val="24"/>
                <w:highlight w:val="yellow"/>
              </w:rPr>
            </w:pPr>
            <w:r w:rsidRPr="007518F8">
              <w:rPr>
                <w:rFonts w:ascii="Times New Roman" w:hAnsi="Times New Roman" w:cs="Times New Roman"/>
                <w:sz w:val="24"/>
                <w:szCs w:val="24"/>
              </w:rPr>
              <w:t>Labor Management Procedure</w:t>
            </w:r>
          </w:p>
        </w:tc>
      </w:tr>
      <w:tr w:rsidR="00842BFC" w:rsidRPr="007518F8" w14:paraId="430C9BC2" w14:textId="77777777" w:rsidTr="002B6112">
        <w:tc>
          <w:tcPr>
            <w:tcW w:w="1413" w:type="dxa"/>
          </w:tcPr>
          <w:p w14:paraId="120021E3" w14:textId="2E37217A"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MOH</w:t>
            </w:r>
          </w:p>
        </w:tc>
        <w:tc>
          <w:tcPr>
            <w:tcW w:w="8266" w:type="dxa"/>
          </w:tcPr>
          <w:p w14:paraId="2A20AFFF" w14:textId="23B5A383"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Ministry of Health</w:t>
            </w:r>
          </w:p>
        </w:tc>
      </w:tr>
      <w:tr w:rsidR="00842BFC" w:rsidRPr="007518F8" w14:paraId="1DEACF41" w14:textId="77777777" w:rsidTr="002B6112">
        <w:tc>
          <w:tcPr>
            <w:tcW w:w="1413" w:type="dxa"/>
          </w:tcPr>
          <w:p w14:paraId="64F5344A" w14:textId="00713AED"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NGO</w:t>
            </w:r>
          </w:p>
        </w:tc>
        <w:tc>
          <w:tcPr>
            <w:tcW w:w="8266" w:type="dxa"/>
          </w:tcPr>
          <w:p w14:paraId="2DE3F997" w14:textId="59FC8469"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Non-governmental organization</w:t>
            </w:r>
          </w:p>
        </w:tc>
      </w:tr>
      <w:tr w:rsidR="00842BFC" w:rsidRPr="007518F8" w14:paraId="4AA95247" w14:textId="77777777" w:rsidTr="002B6112">
        <w:tc>
          <w:tcPr>
            <w:tcW w:w="1413" w:type="dxa"/>
          </w:tcPr>
          <w:p w14:paraId="541DA955" w14:textId="469665A6"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PAPs</w:t>
            </w:r>
          </w:p>
        </w:tc>
        <w:tc>
          <w:tcPr>
            <w:tcW w:w="8266" w:type="dxa"/>
          </w:tcPr>
          <w:p w14:paraId="10F60EFA" w14:textId="5E7419DB"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Project Affected Parties</w:t>
            </w:r>
          </w:p>
        </w:tc>
      </w:tr>
      <w:tr w:rsidR="00842BFC" w:rsidRPr="007518F8" w14:paraId="2BE60DC0" w14:textId="77777777" w:rsidTr="002B6112">
        <w:tc>
          <w:tcPr>
            <w:tcW w:w="1413" w:type="dxa"/>
          </w:tcPr>
          <w:p w14:paraId="5CC6563E" w14:textId="4CB12CB0"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PBC</w:t>
            </w:r>
          </w:p>
        </w:tc>
        <w:tc>
          <w:tcPr>
            <w:tcW w:w="8266" w:type="dxa"/>
          </w:tcPr>
          <w:p w14:paraId="3FE76A4E" w14:textId="220235C8"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Performance-based condition</w:t>
            </w:r>
          </w:p>
        </w:tc>
      </w:tr>
      <w:tr w:rsidR="00842BFC" w:rsidRPr="007518F8" w14:paraId="558834BC" w14:textId="77777777" w:rsidTr="002B6112">
        <w:tc>
          <w:tcPr>
            <w:tcW w:w="1413" w:type="dxa"/>
          </w:tcPr>
          <w:p w14:paraId="33AA494E" w14:textId="2EB20621"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PHC</w:t>
            </w:r>
          </w:p>
        </w:tc>
        <w:tc>
          <w:tcPr>
            <w:tcW w:w="8266" w:type="dxa"/>
          </w:tcPr>
          <w:p w14:paraId="26CB04E9" w14:textId="247BE866"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Public Health Center</w:t>
            </w:r>
          </w:p>
        </w:tc>
      </w:tr>
      <w:tr w:rsidR="00842BFC" w:rsidRPr="007518F8" w14:paraId="27438BE3" w14:textId="77777777" w:rsidTr="002B6112">
        <w:tc>
          <w:tcPr>
            <w:tcW w:w="1413" w:type="dxa"/>
          </w:tcPr>
          <w:p w14:paraId="655C052F" w14:textId="58132FBA"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PIU</w:t>
            </w:r>
          </w:p>
        </w:tc>
        <w:tc>
          <w:tcPr>
            <w:tcW w:w="8266" w:type="dxa"/>
          </w:tcPr>
          <w:p w14:paraId="163FC3B4" w14:textId="6631E90A"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Project Implementation Unit</w:t>
            </w:r>
          </w:p>
        </w:tc>
      </w:tr>
      <w:tr w:rsidR="00842BFC" w:rsidRPr="007518F8" w14:paraId="5263C4A2" w14:textId="77777777" w:rsidTr="002B6112">
        <w:tc>
          <w:tcPr>
            <w:tcW w:w="1413" w:type="dxa"/>
          </w:tcPr>
          <w:p w14:paraId="655A3F7B" w14:textId="7FBA22DD"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POM</w:t>
            </w:r>
          </w:p>
        </w:tc>
        <w:tc>
          <w:tcPr>
            <w:tcW w:w="8266" w:type="dxa"/>
          </w:tcPr>
          <w:p w14:paraId="52423E7B" w14:textId="660BDFB9"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Project Operational Manual</w:t>
            </w:r>
          </w:p>
        </w:tc>
      </w:tr>
      <w:tr w:rsidR="00842BFC" w:rsidRPr="007518F8" w14:paraId="3FA51C3A" w14:textId="77777777" w:rsidTr="002B6112">
        <w:tc>
          <w:tcPr>
            <w:tcW w:w="1413" w:type="dxa"/>
          </w:tcPr>
          <w:p w14:paraId="1EEBE480" w14:textId="465BD073"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SE</w:t>
            </w:r>
          </w:p>
        </w:tc>
        <w:tc>
          <w:tcPr>
            <w:tcW w:w="8266" w:type="dxa"/>
          </w:tcPr>
          <w:p w14:paraId="5AA9D033" w14:textId="219FFE0A"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State Enterprise</w:t>
            </w:r>
          </w:p>
        </w:tc>
      </w:tr>
      <w:tr w:rsidR="00842BFC" w:rsidRPr="007518F8" w14:paraId="10A48E4B" w14:textId="77777777" w:rsidTr="002B6112">
        <w:tc>
          <w:tcPr>
            <w:tcW w:w="1413" w:type="dxa"/>
          </w:tcPr>
          <w:p w14:paraId="5BD40431" w14:textId="155411CA"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SEP</w:t>
            </w:r>
          </w:p>
        </w:tc>
        <w:tc>
          <w:tcPr>
            <w:tcW w:w="8266" w:type="dxa"/>
          </w:tcPr>
          <w:p w14:paraId="6FB1BCCA" w14:textId="5C4D1662"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Stakeholder Engagement Plan</w:t>
            </w:r>
          </w:p>
        </w:tc>
      </w:tr>
      <w:tr w:rsidR="00842BFC" w:rsidRPr="007518F8" w14:paraId="4D6386FD" w14:textId="77777777" w:rsidTr="002B6112">
        <w:tc>
          <w:tcPr>
            <w:tcW w:w="1413" w:type="dxa"/>
          </w:tcPr>
          <w:p w14:paraId="78B4D538" w14:textId="55B491AC"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UNICEF</w:t>
            </w:r>
          </w:p>
        </w:tc>
        <w:tc>
          <w:tcPr>
            <w:tcW w:w="8266" w:type="dxa"/>
          </w:tcPr>
          <w:p w14:paraId="4C64AD92" w14:textId="7C4CBF7A"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United Nations Children's Fund</w:t>
            </w:r>
          </w:p>
        </w:tc>
      </w:tr>
      <w:tr w:rsidR="00155CB6" w:rsidRPr="007518F8" w14:paraId="23EB23EF" w14:textId="77777777" w:rsidTr="002B6112">
        <w:tc>
          <w:tcPr>
            <w:tcW w:w="1413" w:type="dxa"/>
          </w:tcPr>
          <w:p w14:paraId="7F94266A" w14:textId="015E3F7F" w:rsidR="00155CB6" w:rsidRPr="00155CB6" w:rsidRDefault="00155CB6" w:rsidP="001C6166">
            <w:pPr>
              <w:ind w:left="-284"/>
              <w:jc w:val="center"/>
              <w:rPr>
                <w:rFonts w:ascii="Times New Roman" w:hAnsi="Times New Roman" w:cs="Times New Roman"/>
                <w:sz w:val="24"/>
                <w:szCs w:val="24"/>
              </w:rPr>
            </w:pPr>
            <w:r>
              <w:rPr>
                <w:rFonts w:ascii="Times New Roman" w:hAnsi="Times New Roman" w:cs="Times New Roman"/>
                <w:sz w:val="24"/>
                <w:szCs w:val="24"/>
              </w:rPr>
              <w:t>USAID</w:t>
            </w:r>
          </w:p>
        </w:tc>
        <w:tc>
          <w:tcPr>
            <w:tcW w:w="8266" w:type="dxa"/>
          </w:tcPr>
          <w:p w14:paraId="7192B308" w14:textId="1820AD8B" w:rsidR="00155CB6" w:rsidRPr="00155CB6" w:rsidRDefault="00155CB6" w:rsidP="001C6166">
            <w:pPr>
              <w:ind w:left="-284"/>
              <w:jc w:val="center"/>
              <w:rPr>
                <w:rFonts w:ascii="Times New Roman" w:hAnsi="Times New Roman" w:cs="Times New Roman"/>
                <w:sz w:val="24"/>
                <w:szCs w:val="24"/>
              </w:rPr>
            </w:pPr>
            <w:r w:rsidRPr="00155CB6">
              <w:rPr>
                <w:rFonts w:ascii="Times New Roman" w:hAnsi="Times New Roman" w:cs="Times New Roman"/>
                <w:sz w:val="24"/>
                <w:szCs w:val="24"/>
                <w:shd w:val="clear" w:color="auto" w:fill="FFFFFF"/>
              </w:rPr>
              <w:t>United States Agency for International Development</w:t>
            </w:r>
          </w:p>
        </w:tc>
      </w:tr>
      <w:tr w:rsidR="00842BFC" w:rsidRPr="007518F8" w14:paraId="2EF881B0" w14:textId="77777777" w:rsidTr="002B6112">
        <w:tc>
          <w:tcPr>
            <w:tcW w:w="1413" w:type="dxa"/>
          </w:tcPr>
          <w:p w14:paraId="125C756B" w14:textId="5B9E4EFF"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WB</w:t>
            </w:r>
          </w:p>
        </w:tc>
        <w:tc>
          <w:tcPr>
            <w:tcW w:w="8266" w:type="dxa"/>
          </w:tcPr>
          <w:p w14:paraId="001133AF" w14:textId="129C801B"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World Bank</w:t>
            </w:r>
          </w:p>
        </w:tc>
      </w:tr>
      <w:tr w:rsidR="00842BFC" w:rsidRPr="007518F8" w14:paraId="4FF67F9D" w14:textId="77777777" w:rsidTr="002B6112">
        <w:tc>
          <w:tcPr>
            <w:tcW w:w="1413" w:type="dxa"/>
          </w:tcPr>
          <w:p w14:paraId="1B82A804" w14:textId="1668A85B"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WHO</w:t>
            </w:r>
          </w:p>
        </w:tc>
        <w:tc>
          <w:tcPr>
            <w:tcW w:w="8266" w:type="dxa"/>
          </w:tcPr>
          <w:p w14:paraId="7E74553A" w14:textId="10DB5D3F" w:rsidR="00842BFC" w:rsidRPr="007518F8" w:rsidRDefault="00842BFC" w:rsidP="001C6166">
            <w:pPr>
              <w:ind w:left="-284"/>
              <w:jc w:val="center"/>
              <w:rPr>
                <w:rFonts w:ascii="Times New Roman" w:hAnsi="Times New Roman" w:cs="Times New Roman"/>
                <w:sz w:val="24"/>
                <w:szCs w:val="24"/>
              </w:rPr>
            </w:pPr>
            <w:r w:rsidRPr="007518F8">
              <w:rPr>
                <w:rFonts w:ascii="Times New Roman" w:hAnsi="Times New Roman" w:cs="Times New Roman"/>
                <w:sz w:val="24"/>
                <w:szCs w:val="24"/>
              </w:rPr>
              <w:t>World Health Organization</w:t>
            </w:r>
          </w:p>
        </w:tc>
      </w:tr>
    </w:tbl>
    <w:p w14:paraId="5483D6C2" w14:textId="12BA1B88" w:rsidR="0049522A" w:rsidRPr="007518F8" w:rsidRDefault="0049522A" w:rsidP="000A41D4">
      <w:pPr>
        <w:ind w:left="-284"/>
        <w:rPr>
          <w:rFonts w:ascii="Times New Roman" w:hAnsi="Times New Roman" w:cs="Times New Roman"/>
          <w:sz w:val="24"/>
          <w:szCs w:val="24"/>
        </w:rPr>
      </w:pPr>
      <w:r w:rsidRPr="007518F8">
        <w:rPr>
          <w:rFonts w:ascii="Times New Roman" w:hAnsi="Times New Roman" w:cs="Times New Roman"/>
          <w:sz w:val="24"/>
          <w:szCs w:val="24"/>
        </w:rPr>
        <w:br w:type="page"/>
      </w:r>
    </w:p>
    <w:p w14:paraId="60D2A7B1" w14:textId="4A8C92A2" w:rsidR="0049522A" w:rsidRPr="007518F8" w:rsidRDefault="00212AB3" w:rsidP="000A41D4">
      <w:pPr>
        <w:pStyle w:val="1"/>
        <w:ind w:left="-284"/>
        <w:rPr>
          <w:rFonts w:cs="Times New Roman"/>
          <w:szCs w:val="24"/>
        </w:rPr>
      </w:pPr>
      <w:bookmarkStart w:id="1" w:name="_Toc65760300"/>
      <w:r w:rsidRPr="007518F8">
        <w:rPr>
          <w:rFonts w:cs="Times New Roman"/>
          <w:szCs w:val="24"/>
        </w:rPr>
        <w:lastRenderedPageBreak/>
        <w:t>1</w:t>
      </w:r>
      <w:r w:rsidR="009E5A9A">
        <w:rPr>
          <w:rFonts w:cs="Times New Roman"/>
          <w:szCs w:val="24"/>
        </w:rPr>
        <w:t>. I</w:t>
      </w:r>
      <w:r w:rsidR="009E5A9A" w:rsidRPr="007518F8">
        <w:rPr>
          <w:rFonts w:cs="Times New Roman"/>
          <w:szCs w:val="24"/>
        </w:rPr>
        <w:t>ntroduction</w:t>
      </w:r>
      <w:bookmarkEnd w:id="1"/>
    </w:p>
    <w:p w14:paraId="76C8994C" w14:textId="73EC14F2" w:rsidR="007C4327" w:rsidRDefault="008901BA" w:rsidP="000A41D4">
      <w:pPr>
        <w:pStyle w:val="1"/>
        <w:ind w:left="-284"/>
        <w:rPr>
          <w:rFonts w:cs="Times New Roman"/>
          <w:szCs w:val="24"/>
        </w:rPr>
      </w:pPr>
      <w:bookmarkStart w:id="2" w:name="_Toc65760301"/>
      <w:r w:rsidRPr="007518F8">
        <w:rPr>
          <w:rFonts w:cs="Times New Roman"/>
          <w:szCs w:val="24"/>
        </w:rPr>
        <w:t xml:space="preserve">1.1 </w:t>
      </w:r>
      <w:r w:rsidR="00007638" w:rsidRPr="007518F8">
        <w:rPr>
          <w:rFonts w:cs="Times New Roman"/>
          <w:szCs w:val="24"/>
        </w:rPr>
        <w:t>Country context</w:t>
      </w:r>
      <w:bookmarkEnd w:id="2"/>
    </w:p>
    <w:p w14:paraId="42EC8292" w14:textId="77777777" w:rsidR="00F102C2" w:rsidRPr="00F102C2" w:rsidRDefault="00F102C2" w:rsidP="000A41D4">
      <w:pPr>
        <w:ind w:left="-284"/>
      </w:pPr>
    </w:p>
    <w:p w14:paraId="11772176" w14:textId="03844031"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Government of Ukraine (hereinafter - GoU) launched the healthcare system reform in 2017 by adoption of Law of Ukraine “On State finance guarantees of medical care”. In 2018 the National healthcare service was established and first phase of the reform, i.e., transformation of primary health care, began. The second stage of the reform focused on hospital sector launched in April 2020. This reform required focusing on significant financial and technical resources in terms of optimization of hospitals network, modernization of priority hospitals, defining a guarantee package of health care services, creation of monitoring systems and implementation financing based on results. </w:t>
      </w:r>
    </w:p>
    <w:p w14:paraId="039F4D3B" w14:textId="77777777" w:rsidR="004B150B" w:rsidRPr="007518F8" w:rsidRDefault="004B150B" w:rsidP="000A41D4">
      <w:pPr>
        <w:pStyle w:val="normale2"/>
        <w:numPr>
          <w:ilvl w:val="0"/>
          <w:numId w:val="0"/>
        </w:numPr>
        <w:spacing w:after="240"/>
        <w:ind w:left="-284" w:right="4"/>
        <w:rPr>
          <w:rFonts w:eastAsiaTheme="minorHAnsi"/>
          <w:color w:val="auto"/>
          <w:lang w:eastAsia="en-US"/>
        </w:rPr>
      </w:pPr>
    </w:p>
    <w:p w14:paraId="224B5CDF" w14:textId="22899B1D"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During the active phase of medical reform implementation, an outbreak of coronavirus infection (COVID-19) was rapidly spreading around the world, causing significant challenges to Ukrainian health care system. COVID-19 is the largest of several infectious diseases outbreaks in recent decades having zootic origin, which caused a pandemic with unprecedented effects on public health system and the economy.</w:t>
      </w:r>
    </w:p>
    <w:p w14:paraId="14106D5F" w14:textId="77777777" w:rsidR="004B150B" w:rsidRPr="007518F8" w:rsidRDefault="004B150B" w:rsidP="000A41D4">
      <w:pPr>
        <w:pStyle w:val="normale2"/>
        <w:numPr>
          <w:ilvl w:val="0"/>
          <w:numId w:val="0"/>
        </w:numPr>
        <w:spacing w:after="240"/>
        <w:ind w:left="-284" w:right="4"/>
        <w:rPr>
          <w:rFonts w:eastAsiaTheme="minorHAnsi"/>
          <w:color w:val="auto"/>
          <w:lang w:eastAsia="en-US"/>
        </w:rPr>
      </w:pPr>
    </w:p>
    <w:p w14:paraId="5BAE74A0" w14:textId="763E7F62" w:rsidR="004B150B" w:rsidRPr="00AB494E"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G</w:t>
      </w:r>
      <w:r w:rsidR="0059784C">
        <w:rPr>
          <w:rFonts w:eastAsiaTheme="minorHAnsi"/>
          <w:color w:val="auto"/>
          <w:lang w:eastAsia="en-US"/>
        </w:rPr>
        <w:t>oU resorts to</w:t>
      </w:r>
      <w:r w:rsidRPr="007518F8">
        <w:rPr>
          <w:rFonts w:eastAsiaTheme="minorHAnsi"/>
          <w:color w:val="auto"/>
          <w:lang w:eastAsia="en-US"/>
        </w:rPr>
        <w:t xml:space="preserve"> actions in response to challenges caused by COVID-19 pandemic. In particular, possibilities for diagnosing SARS-CoV-2 coronavirus infection; process of information systems disease registration and tracking the network of infec</w:t>
      </w:r>
      <w:r w:rsidR="00AB494E">
        <w:rPr>
          <w:rFonts w:eastAsiaTheme="minorHAnsi"/>
          <w:color w:val="auto"/>
          <w:lang w:eastAsia="en-US"/>
        </w:rPr>
        <w:t>ted person’s contacts has begun etc.</w:t>
      </w:r>
    </w:p>
    <w:p w14:paraId="4036A8E9" w14:textId="4F250E9D"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 </w:t>
      </w:r>
    </w:p>
    <w:p w14:paraId="0BFABA94" w14:textId="4EBD04ED"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Nevertheless, further increase of coronavirus COVID-19 cases in Ukraine is observed. It stipulates extreme strain on the health care system, depletes its resources and significantly reduces availability of health care, especially for the most vulnerable people.</w:t>
      </w:r>
    </w:p>
    <w:p w14:paraId="4472DA07" w14:textId="4796388F" w:rsidR="004B150B" w:rsidRPr="007518F8" w:rsidRDefault="004B150B" w:rsidP="000A41D4">
      <w:pPr>
        <w:pStyle w:val="normale2"/>
        <w:numPr>
          <w:ilvl w:val="0"/>
          <w:numId w:val="0"/>
        </w:numPr>
        <w:spacing w:after="240"/>
        <w:ind w:left="-284" w:right="4"/>
        <w:rPr>
          <w:rFonts w:eastAsiaTheme="minorHAnsi"/>
          <w:color w:val="auto"/>
          <w:lang w:eastAsia="en-US"/>
        </w:rPr>
      </w:pPr>
    </w:p>
    <w:p w14:paraId="2CD481A1" w14:textId="020D6124"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To ensure control over the pandemic, in 2021-2022 Ukraine primarily plans to vaccinate 50% of the population with priority vaccination needs. A list of the following groups and other</w:t>
      </w:r>
      <w:r w:rsidR="00E758A9" w:rsidRPr="007518F8">
        <w:rPr>
          <w:rFonts w:eastAsiaTheme="minorHAnsi"/>
          <w:color w:val="auto"/>
          <w:lang w:eastAsia="en-US"/>
        </w:rPr>
        <w:t xml:space="preserve"> affected and</w:t>
      </w:r>
      <w:r w:rsidRPr="007518F8">
        <w:rPr>
          <w:rFonts w:eastAsiaTheme="minorHAnsi"/>
          <w:color w:val="auto"/>
          <w:lang w:eastAsia="en-US"/>
        </w:rPr>
        <w:t xml:space="preserve"> interested parties is provided in sub-clauses 3.1 and 3.2 below.</w:t>
      </w:r>
    </w:p>
    <w:p w14:paraId="7DE930D4" w14:textId="77777777" w:rsidR="004B150B" w:rsidRPr="007518F8" w:rsidRDefault="004B150B" w:rsidP="000A41D4">
      <w:pPr>
        <w:pStyle w:val="normale2"/>
        <w:numPr>
          <w:ilvl w:val="0"/>
          <w:numId w:val="0"/>
        </w:numPr>
        <w:spacing w:after="240"/>
        <w:ind w:left="-284" w:right="4"/>
        <w:rPr>
          <w:rFonts w:eastAsiaTheme="minorHAnsi"/>
          <w:color w:val="auto"/>
          <w:lang w:eastAsia="en-US"/>
        </w:rPr>
      </w:pPr>
    </w:p>
    <w:p w14:paraId="6F7DCA5D" w14:textId="53DA146B"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As part of the partnership with COVAX and GAVI, Ukraine expects to receive vaccine for covering 15-20% of the population (6-8 million people </w:t>
      </w:r>
      <w:r w:rsidR="00607C8C">
        <w:rPr>
          <w:rFonts w:eastAsiaTheme="minorHAnsi"/>
          <w:color w:val="auto"/>
          <w:lang w:eastAsia="en-US"/>
        </w:rPr>
        <w:t>from</w:t>
      </w:r>
      <w:r w:rsidRPr="007518F8">
        <w:rPr>
          <w:rFonts w:eastAsiaTheme="minorHAnsi"/>
          <w:color w:val="auto"/>
          <w:lang w:eastAsia="en-US"/>
        </w:rPr>
        <w:t xml:space="preserve"> </w:t>
      </w:r>
      <w:r w:rsidR="00E758A9" w:rsidRPr="007518F8">
        <w:rPr>
          <w:rFonts w:eastAsiaTheme="minorHAnsi"/>
          <w:color w:val="auto"/>
          <w:lang w:eastAsia="en-US"/>
        </w:rPr>
        <w:t>target groups)</w:t>
      </w:r>
      <w:r w:rsidRPr="007518F8">
        <w:rPr>
          <w:rFonts w:eastAsiaTheme="minorHAnsi"/>
          <w:color w:val="auto"/>
          <w:lang w:eastAsia="en-US"/>
        </w:rPr>
        <w:t>. The remaining vaccines for immunization coverage of target groups, Ukraine can get</w:t>
      </w:r>
      <w:r w:rsidR="00607C8C">
        <w:rPr>
          <w:rFonts w:eastAsiaTheme="minorHAnsi"/>
          <w:color w:val="auto"/>
          <w:lang w:eastAsia="en-US"/>
        </w:rPr>
        <w:t xml:space="preserve"> from COVAX or</w:t>
      </w:r>
      <w:r w:rsidRPr="007518F8">
        <w:rPr>
          <w:rFonts w:eastAsiaTheme="minorHAnsi"/>
          <w:color w:val="auto"/>
          <w:lang w:eastAsia="en-US"/>
        </w:rPr>
        <w:t xml:space="preserve"> by concluding additional agreements with or buying them directly from manufacturers. Depending on the type of vaccine, two-dose vaccination may be required, which is typical for most vaccines that will be available from 2021.</w:t>
      </w:r>
    </w:p>
    <w:p w14:paraId="6872A810" w14:textId="77777777" w:rsidR="004B150B" w:rsidRPr="007518F8" w:rsidRDefault="004B150B" w:rsidP="000A41D4">
      <w:pPr>
        <w:pStyle w:val="normale2"/>
        <w:numPr>
          <w:ilvl w:val="0"/>
          <w:numId w:val="0"/>
        </w:numPr>
        <w:spacing w:after="240"/>
        <w:ind w:left="-284" w:right="4"/>
        <w:rPr>
          <w:rFonts w:eastAsiaTheme="minorHAnsi"/>
          <w:color w:val="auto"/>
          <w:lang w:eastAsia="en-US"/>
        </w:rPr>
      </w:pPr>
    </w:p>
    <w:p w14:paraId="47C93990" w14:textId="11A654EB"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In the meantime, the draft State Budget of Ukraine for 2021 provides for the purchase of vaccines, which will approximately cover about 6 million people. However, the number of doses of vaccine that can be purchased from the State budget will depend on the available vaccine, its cost and conditions of use.</w:t>
      </w:r>
    </w:p>
    <w:p w14:paraId="35146C73" w14:textId="77777777" w:rsidR="004B150B" w:rsidRPr="007518F8" w:rsidRDefault="004B150B" w:rsidP="000A41D4">
      <w:pPr>
        <w:pStyle w:val="normale2"/>
        <w:numPr>
          <w:ilvl w:val="0"/>
          <w:numId w:val="0"/>
        </w:numPr>
        <w:spacing w:after="240"/>
        <w:ind w:left="-284" w:right="4"/>
        <w:rPr>
          <w:rFonts w:eastAsiaTheme="minorHAnsi"/>
          <w:color w:val="auto"/>
          <w:lang w:eastAsia="en-US"/>
        </w:rPr>
      </w:pPr>
    </w:p>
    <w:p w14:paraId="0DB212D2" w14:textId="6B9150A4"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The issue of vaccine storage and vaccination is extremely acute, i.e.: organizational issues, storage conditions, providing a "cold chain" during transportation, the actual logistics issues to ensure timely delivery of vaccines, supply of consumables, dry ice, personal protective equipment, means (boxes) for disposal of syringes and needles, sterilization equipment and other necessary equipment in all regions of Ukraine.</w:t>
      </w:r>
    </w:p>
    <w:p w14:paraId="40CF8DC0" w14:textId="77777777" w:rsidR="004B150B" w:rsidRPr="007518F8" w:rsidRDefault="004B150B" w:rsidP="000A41D4">
      <w:pPr>
        <w:pStyle w:val="normale2"/>
        <w:numPr>
          <w:ilvl w:val="0"/>
          <w:numId w:val="0"/>
        </w:numPr>
        <w:spacing w:after="240"/>
        <w:ind w:left="-284" w:right="4"/>
        <w:rPr>
          <w:rFonts w:eastAsiaTheme="minorHAnsi"/>
          <w:color w:val="auto"/>
          <w:lang w:eastAsia="en-US"/>
        </w:rPr>
      </w:pPr>
    </w:p>
    <w:p w14:paraId="0388BD09" w14:textId="25EF662C"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SE ‘Ukrvaktsyna’ of the MOH is the only enterprise engaged in storage and delivery of vaccines to regional storage facilities, having certain capacities for delivery by refrigerators. However, </w:t>
      </w:r>
      <w:r w:rsidR="00AB494E">
        <w:rPr>
          <w:rFonts w:eastAsiaTheme="minorHAnsi"/>
          <w:color w:val="auto"/>
          <w:lang w:eastAsia="en-US"/>
        </w:rPr>
        <w:t xml:space="preserve">both SE </w:t>
      </w:r>
      <w:r w:rsidR="00C157E0">
        <w:rPr>
          <w:rFonts w:eastAsiaTheme="minorHAnsi"/>
          <w:color w:val="auto"/>
          <w:lang w:eastAsia="en-US"/>
        </w:rPr>
        <w:t xml:space="preserve">and </w:t>
      </w:r>
      <w:r w:rsidR="00C157E0" w:rsidRPr="007518F8">
        <w:rPr>
          <w:rFonts w:eastAsiaTheme="minorHAnsi"/>
          <w:color w:val="auto"/>
          <w:lang w:eastAsia="en-US"/>
        </w:rPr>
        <w:t>regional</w:t>
      </w:r>
      <w:r w:rsidR="00AB494E">
        <w:rPr>
          <w:rFonts w:eastAsiaTheme="minorHAnsi"/>
          <w:color w:val="auto"/>
          <w:lang w:eastAsia="en-US"/>
        </w:rPr>
        <w:t xml:space="preserve"> storage facilities capacities are poor</w:t>
      </w:r>
      <w:r w:rsidRPr="007518F8">
        <w:rPr>
          <w:rFonts w:eastAsiaTheme="minorHAnsi"/>
          <w:color w:val="auto"/>
          <w:lang w:eastAsia="en-US"/>
        </w:rPr>
        <w:t xml:space="preserve">. Equipment of the cold chain (some refrigerators and freezers) is in poor condition, for instance doors of refrigerators do not meet the standards, there is only </w:t>
      </w:r>
      <w:r w:rsidRPr="007518F8">
        <w:rPr>
          <w:rFonts w:eastAsiaTheme="minorHAnsi"/>
          <w:color w:val="auto"/>
          <w:lang w:eastAsia="en-US"/>
        </w:rPr>
        <w:lastRenderedPageBreak/>
        <w:t>one cooling device for each refrigerator/freezer etc.</w:t>
      </w:r>
    </w:p>
    <w:p w14:paraId="2FC8C555" w14:textId="77777777" w:rsidR="00CB2933" w:rsidRPr="007518F8" w:rsidRDefault="00CB2933" w:rsidP="000A41D4">
      <w:pPr>
        <w:pStyle w:val="normale2"/>
        <w:numPr>
          <w:ilvl w:val="0"/>
          <w:numId w:val="0"/>
        </w:numPr>
        <w:spacing w:after="240"/>
        <w:ind w:left="-284" w:right="4"/>
        <w:rPr>
          <w:rFonts w:eastAsiaTheme="minorHAnsi"/>
          <w:color w:val="auto"/>
          <w:lang w:eastAsia="en-US"/>
        </w:rPr>
      </w:pPr>
    </w:p>
    <w:p w14:paraId="44471729" w14:textId="77777777"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Due to the pandemic, the health care system is already experiencing a shortage of doctors and nurses. Considering that, a need for vaccination raises the issue of human resources: it is necessary to train medical staff for vaccination and organize schedules for trained staff recruiting to mass vaccination in the short term.</w:t>
      </w:r>
    </w:p>
    <w:p w14:paraId="76504C18" w14:textId="77777777" w:rsidR="00CB2933" w:rsidRPr="007518F8" w:rsidRDefault="00CB2933" w:rsidP="000A41D4">
      <w:pPr>
        <w:pStyle w:val="normale2"/>
        <w:numPr>
          <w:ilvl w:val="0"/>
          <w:numId w:val="0"/>
        </w:numPr>
        <w:spacing w:after="240"/>
        <w:ind w:left="-284" w:right="4"/>
        <w:rPr>
          <w:rFonts w:eastAsiaTheme="minorHAnsi"/>
          <w:color w:val="auto"/>
          <w:lang w:eastAsia="en-US"/>
        </w:rPr>
      </w:pPr>
    </w:p>
    <w:p w14:paraId="01842A83" w14:textId="37D6A06A"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Vaccination against COVID-19 requires control over the vaccination process in detail for each person: vaccination schedule, control of the second vaccination, registration of side effects etc. Such control requires maintenance of a full-fledged information system. MOH and PHC need active and effective resource assistance in this matter.</w:t>
      </w:r>
    </w:p>
    <w:p w14:paraId="465F8562" w14:textId="77777777" w:rsidR="00CB2933" w:rsidRPr="007518F8" w:rsidRDefault="00CB2933" w:rsidP="000A41D4">
      <w:pPr>
        <w:pStyle w:val="normale2"/>
        <w:numPr>
          <w:ilvl w:val="0"/>
          <w:numId w:val="0"/>
        </w:numPr>
        <w:spacing w:after="240"/>
        <w:ind w:left="-284" w:right="4"/>
        <w:rPr>
          <w:rFonts w:eastAsiaTheme="minorHAnsi"/>
          <w:color w:val="auto"/>
          <w:lang w:eastAsia="en-US"/>
        </w:rPr>
      </w:pPr>
    </w:p>
    <w:p w14:paraId="598CD75E" w14:textId="77777777"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The issue of medical waste management in health care facilities has been raised due to COVID-19. At present, medical waste management practices in Ukraine are unsatisfactory and do not meet modern standards, progressive accumulation of such waste is observed. The key issue is inconsistencies in medical waste management in Ukrainian legislation.</w:t>
      </w:r>
    </w:p>
    <w:p w14:paraId="0B2F237E" w14:textId="77777777" w:rsidR="00CB2933" w:rsidRPr="007518F8" w:rsidRDefault="00CB2933" w:rsidP="000A41D4">
      <w:pPr>
        <w:pStyle w:val="normale2"/>
        <w:numPr>
          <w:ilvl w:val="0"/>
          <w:numId w:val="0"/>
        </w:numPr>
        <w:spacing w:after="240"/>
        <w:ind w:left="-284" w:right="4"/>
        <w:rPr>
          <w:rFonts w:eastAsiaTheme="minorHAnsi"/>
          <w:color w:val="auto"/>
          <w:lang w:eastAsia="en-US"/>
        </w:rPr>
      </w:pPr>
    </w:p>
    <w:p w14:paraId="2A71534B" w14:textId="7231FD6A"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MOH is working out mechanisms to address the above issues, meanwhile initiated negotiations with the World Bank on the preparation and implementation of the Project "Ukraine Emergency Covid-19 Response and Vaccination Project" (hereinafter – the Project), which will provide for continued support of pandemic measures implemented by the Government of Ukraine, as well as introduce a set of pre-vaccination, vaccination and post-vaccination measures. Given the growing financial, technical and human resources needs of Ukraine’s health care system, the World Bank additional funding for Ukraine’s health care system is essential at this critical stage for Ukraine.</w:t>
      </w:r>
    </w:p>
    <w:p w14:paraId="02D3BBAE" w14:textId="0FD3B28B" w:rsidR="00233A2A" w:rsidRPr="007518F8" w:rsidRDefault="00233A2A" w:rsidP="000A41D4">
      <w:pPr>
        <w:pStyle w:val="normale2"/>
        <w:numPr>
          <w:ilvl w:val="0"/>
          <w:numId w:val="0"/>
        </w:numPr>
        <w:spacing w:after="240"/>
        <w:ind w:left="-284" w:right="4"/>
        <w:rPr>
          <w:rFonts w:eastAsiaTheme="minorHAnsi"/>
          <w:color w:val="auto"/>
          <w:lang w:eastAsia="en-US"/>
        </w:rPr>
      </w:pPr>
    </w:p>
    <w:p w14:paraId="3F287CFE" w14:textId="0C817015" w:rsidR="00233A2A" w:rsidRPr="007518F8" w:rsidRDefault="00233A2A"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The project </w:t>
      </w:r>
      <w:r w:rsidR="00074E8D" w:rsidRPr="00074E8D">
        <w:rPr>
          <w:rFonts w:eastAsiaTheme="minorHAnsi"/>
          <w:color w:val="auto"/>
          <w:lang w:eastAsia="en-US"/>
        </w:rPr>
        <w:t>will support preparation and implementation of the COVID-19 vaccination campaign, vaccine procurement costs, deployment of COVID-19 vaccines to eligible groups of the population, and support concurrent activities to strengthen the COVID-19 response. To effectively prepare and support the country in the first phase of vaccine roll-out, the project will invest in procurement of COVID-19 vaccines and logistics, will help set up the cold chain, information and waste management system at national, regional, and facility levels, and support service delivery by reimbursing costs associated with the delivery of  COVID-19 vaccination through the deployment of additional staff hours or additional staff, and covering related recurrent costs. Concurrently, the project will support activities to further expand COVID-19 testing capacity. Strong testing is essential as vaccine coverage will be incomplete and focused on priority populations, hence prevention will continue to be critical in the interim. Together, these investments will increase the capacity of the Ukrainian government to prevent new COVID-19 cases and reduce COVID-19 related complications, respond to the pandemic (as well as prepare for future pandemics), and, ultimately, decrease COVID19-related morbidity and mortality in the country.</w:t>
      </w:r>
    </w:p>
    <w:p w14:paraId="731FC413" w14:textId="77777777" w:rsidR="00233A2A" w:rsidRPr="007518F8" w:rsidRDefault="00233A2A" w:rsidP="000A41D4">
      <w:pPr>
        <w:pStyle w:val="normale2"/>
        <w:numPr>
          <w:ilvl w:val="0"/>
          <w:numId w:val="0"/>
        </w:numPr>
        <w:spacing w:after="240"/>
        <w:ind w:left="-284" w:right="4"/>
        <w:rPr>
          <w:rFonts w:eastAsiaTheme="minorHAnsi"/>
          <w:color w:val="auto"/>
          <w:lang w:eastAsia="en-US"/>
        </w:rPr>
      </w:pPr>
    </w:p>
    <w:p w14:paraId="739063C8" w14:textId="01F6B506" w:rsidR="00CB2933" w:rsidRPr="007518F8" w:rsidRDefault="00CB2933" w:rsidP="000A41D4">
      <w:pPr>
        <w:pStyle w:val="1"/>
        <w:ind w:left="-284"/>
        <w:rPr>
          <w:rFonts w:eastAsiaTheme="minorHAnsi" w:cs="Times New Roman"/>
          <w:szCs w:val="24"/>
        </w:rPr>
      </w:pPr>
      <w:bookmarkStart w:id="3" w:name="_Toc65760302"/>
      <w:r w:rsidRPr="007518F8">
        <w:rPr>
          <w:rFonts w:eastAsiaTheme="minorHAnsi" w:cs="Times New Roman"/>
          <w:szCs w:val="24"/>
        </w:rPr>
        <w:t>1.2 Description of purposes and objectives of the Project</w:t>
      </w:r>
      <w:bookmarkEnd w:id="3"/>
    </w:p>
    <w:p w14:paraId="0550DD35" w14:textId="77777777" w:rsidR="00CB2933" w:rsidRPr="007518F8" w:rsidRDefault="00CB2933" w:rsidP="000A41D4">
      <w:pPr>
        <w:pStyle w:val="normale2"/>
        <w:numPr>
          <w:ilvl w:val="0"/>
          <w:numId w:val="0"/>
        </w:numPr>
        <w:spacing w:after="240"/>
        <w:ind w:left="-284" w:right="4"/>
        <w:rPr>
          <w:rFonts w:eastAsiaTheme="minorHAnsi"/>
          <w:color w:val="auto"/>
          <w:lang w:eastAsia="en-US"/>
        </w:rPr>
      </w:pPr>
    </w:p>
    <w:p w14:paraId="0A42DCF3" w14:textId="0D651D85"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The Project is expected to provide further support to MOH in preventing the disease by planning and conducting vaccinations, responding to and overcoming </w:t>
      </w:r>
      <w:r w:rsidR="00B8669D" w:rsidRPr="007518F8">
        <w:rPr>
          <w:rFonts w:eastAsiaTheme="minorHAnsi"/>
          <w:color w:val="auto"/>
          <w:lang w:eastAsia="en-US"/>
        </w:rPr>
        <w:t>consequences</w:t>
      </w:r>
      <w:r w:rsidRPr="007518F8">
        <w:rPr>
          <w:rFonts w:eastAsiaTheme="minorHAnsi"/>
          <w:color w:val="auto"/>
          <w:lang w:eastAsia="en-US"/>
        </w:rPr>
        <w:t xml:space="preserve"> of the COVID-19 pandemic. </w:t>
      </w:r>
    </w:p>
    <w:p w14:paraId="1F08E4D5" w14:textId="77777777" w:rsidR="00464E95" w:rsidRPr="007518F8" w:rsidRDefault="00464E95" w:rsidP="000A41D4">
      <w:pPr>
        <w:pStyle w:val="normale2"/>
        <w:numPr>
          <w:ilvl w:val="0"/>
          <w:numId w:val="0"/>
        </w:numPr>
        <w:spacing w:after="240"/>
        <w:ind w:left="-284" w:right="4"/>
        <w:rPr>
          <w:rFonts w:eastAsiaTheme="minorHAnsi"/>
          <w:color w:val="auto"/>
          <w:lang w:eastAsia="en-US"/>
        </w:rPr>
      </w:pPr>
    </w:p>
    <w:p w14:paraId="42230D93" w14:textId="7955B026" w:rsidR="00CB2933" w:rsidRPr="007518F8" w:rsidRDefault="00CB2933" w:rsidP="000A41D4">
      <w:pPr>
        <w:pStyle w:val="normale2"/>
        <w:numPr>
          <w:ilvl w:val="0"/>
          <w:numId w:val="0"/>
        </w:numPr>
        <w:spacing w:after="240"/>
        <w:ind w:left="-284" w:right="4"/>
        <w:rPr>
          <w:rFonts w:eastAsiaTheme="minorHAnsi"/>
          <w:color w:val="auto"/>
          <w:lang w:eastAsia="en-US"/>
        </w:rPr>
      </w:pPr>
      <w:r w:rsidRPr="007518F8">
        <w:rPr>
          <w:rFonts w:eastAsiaTheme="minorHAnsi"/>
          <w:color w:val="auto"/>
          <w:lang w:eastAsia="en-US"/>
        </w:rPr>
        <w:t xml:space="preserve">Thus, the </w:t>
      </w:r>
      <w:r w:rsidR="00464E95" w:rsidRPr="007518F8">
        <w:rPr>
          <w:rFonts w:eastAsiaTheme="minorHAnsi"/>
          <w:color w:val="auto"/>
          <w:lang w:eastAsia="en-US"/>
        </w:rPr>
        <w:t xml:space="preserve">Purpose </w:t>
      </w:r>
      <w:r w:rsidRPr="007518F8">
        <w:rPr>
          <w:rFonts w:eastAsiaTheme="minorHAnsi"/>
          <w:color w:val="auto"/>
          <w:lang w:eastAsia="en-US"/>
        </w:rPr>
        <w:t xml:space="preserve">of the Project is to prevent, detect and respond to the threat posed by COVID-19 and to strengthen national </w:t>
      </w:r>
      <w:r w:rsidR="0009786D" w:rsidRPr="0009786D">
        <w:rPr>
          <w:rFonts w:eastAsiaTheme="minorHAnsi"/>
          <w:color w:val="auto"/>
          <w:lang w:eastAsia="en-US"/>
        </w:rPr>
        <w:t xml:space="preserve">systems for public health preparedness in Ukraine. </w:t>
      </w:r>
    </w:p>
    <w:p w14:paraId="27E0624C" w14:textId="77777777" w:rsidR="00464E95" w:rsidRPr="007518F8" w:rsidRDefault="00464E95" w:rsidP="000A41D4">
      <w:pPr>
        <w:pStyle w:val="normale2"/>
        <w:numPr>
          <w:ilvl w:val="0"/>
          <w:numId w:val="0"/>
        </w:numPr>
        <w:spacing w:after="240"/>
        <w:ind w:left="-284" w:right="4"/>
        <w:rPr>
          <w:rFonts w:eastAsiaTheme="minorHAnsi"/>
          <w:color w:val="auto"/>
          <w:lang w:eastAsia="en-US"/>
        </w:rPr>
      </w:pPr>
    </w:p>
    <w:p w14:paraId="51771D98" w14:textId="190CEF72" w:rsidR="002A4F63" w:rsidRPr="0030599F" w:rsidRDefault="000A41D4" w:rsidP="002A4F63">
      <w:pPr>
        <w:pStyle w:val="normale2"/>
        <w:numPr>
          <w:ilvl w:val="0"/>
          <w:numId w:val="0"/>
        </w:numPr>
        <w:spacing w:after="240"/>
        <w:ind w:left="-284" w:right="4"/>
        <w:rPr>
          <w:rFonts w:eastAsiaTheme="minorHAnsi"/>
          <w:color w:val="auto"/>
          <w:lang w:val="uk-UA" w:eastAsia="en-US"/>
        </w:rPr>
      </w:pPr>
      <w:r w:rsidRPr="000A41D4">
        <w:rPr>
          <w:rFonts w:eastAsiaTheme="minorHAnsi"/>
          <w:color w:val="auto"/>
          <w:lang w:eastAsia="en-US"/>
        </w:rPr>
        <w:t xml:space="preserve">The Project objectives are aligned to the results chain of the COVID-19 Strategic Preparedness and Response Program (SPRP). They are also aligned with </w:t>
      </w:r>
      <w:r w:rsidR="002A4F63" w:rsidRPr="002A4F63">
        <w:rPr>
          <w:rFonts w:eastAsiaTheme="minorHAnsi"/>
          <w:color w:val="auto"/>
          <w:lang w:eastAsia="en-US"/>
        </w:rPr>
        <w:t xml:space="preserve">Roadmap for introduction of vaccine against </w:t>
      </w:r>
      <w:r w:rsidR="002A4F63" w:rsidRPr="002A4F63">
        <w:rPr>
          <w:rFonts w:eastAsiaTheme="minorHAnsi"/>
          <w:color w:val="auto"/>
          <w:lang w:eastAsia="en-US"/>
        </w:rPr>
        <w:lastRenderedPageBreak/>
        <w:t xml:space="preserve">acute respiratory disease COVID-19 caused by the coronavirus SARS-CoV-2, and mass vaccination in response to the pandemic COVID-19 in Ukraine in 2021-2022, approved by the Order of the Ministry of Health </w:t>
      </w:r>
      <w:r w:rsidR="002A4F63">
        <w:rPr>
          <w:rFonts w:eastAsiaTheme="minorHAnsi"/>
          <w:color w:val="auto"/>
          <w:lang w:eastAsia="en-US"/>
        </w:rPr>
        <w:t>dated</w:t>
      </w:r>
      <w:r w:rsidR="002A4F63" w:rsidRPr="002A4F63">
        <w:rPr>
          <w:rFonts w:eastAsiaTheme="minorHAnsi"/>
          <w:color w:val="auto"/>
          <w:lang w:eastAsia="en-US"/>
        </w:rPr>
        <w:t xml:space="preserve"> </w:t>
      </w:r>
      <w:r w:rsidR="002A4F63">
        <w:rPr>
          <w:rFonts w:eastAsiaTheme="minorHAnsi"/>
          <w:color w:val="auto"/>
          <w:lang w:eastAsia="en-US"/>
        </w:rPr>
        <w:t xml:space="preserve">24 </w:t>
      </w:r>
      <w:r w:rsidR="002A4F63" w:rsidRPr="002A4F63">
        <w:rPr>
          <w:rFonts w:eastAsiaTheme="minorHAnsi"/>
          <w:color w:val="auto"/>
          <w:lang w:eastAsia="en-US"/>
        </w:rPr>
        <w:t>December 2020</w:t>
      </w:r>
      <w:r w:rsidR="002A4F63">
        <w:rPr>
          <w:rFonts w:eastAsiaTheme="minorHAnsi"/>
          <w:color w:val="auto"/>
          <w:lang w:eastAsia="en-US"/>
        </w:rPr>
        <w:t>,</w:t>
      </w:r>
      <w:r w:rsidR="002A4F63" w:rsidRPr="002A4F63">
        <w:rPr>
          <w:rFonts w:eastAsiaTheme="minorHAnsi"/>
          <w:color w:val="auto"/>
          <w:lang w:eastAsia="en-US"/>
        </w:rPr>
        <w:t xml:space="preserve"> </w:t>
      </w:r>
      <w:r w:rsidR="002A4F63">
        <w:rPr>
          <w:rFonts w:eastAsiaTheme="minorHAnsi"/>
          <w:color w:val="auto"/>
          <w:lang w:eastAsia="en-US"/>
        </w:rPr>
        <w:t>No</w:t>
      </w:r>
      <w:r w:rsidR="002A4F63" w:rsidRPr="002A4F63">
        <w:rPr>
          <w:rFonts w:eastAsiaTheme="minorHAnsi"/>
          <w:color w:val="auto"/>
          <w:lang w:eastAsia="en-US"/>
        </w:rPr>
        <w:t xml:space="preserve"> 3018</w:t>
      </w:r>
      <w:r w:rsidR="002A4F63">
        <w:rPr>
          <w:rFonts w:eastAsiaTheme="minorHAnsi"/>
          <w:color w:val="auto"/>
          <w:lang w:eastAsia="en-US"/>
        </w:rPr>
        <w:t>.</w:t>
      </w:r>
    </w:p>
    <w:p w14:paraId="2251450C" w14:textId="77777777" w:rsidR="002A4F63" w:rsidRPr="002A4F63" w:rsidRDefault="002A4F63" w:rsidP="000A41D4">
      <w:pPr>
        <w:pStyle w:val="normale2"/>
        <w:numPr>
          <w:ilvl w:val="0"/>
          <w:numId w:val="0"/>
        </w:numPr>
        <w:spacing w:after="240"/>
        <w:ind w:left="-284" w:right="4"/>
        <w:rPr>
          <w:rFonts w:eastAsiaTheme="minorHAnsi"/>
          <w:color w:val="auto"/>
          <w:lang w:val="uk-UA" w:eastAsia="en-US"/>
        </w:rPr>
      </w:pPr>
    </w:p>
    <w:p w14:paraId="78DCB97B" w14:textId="77777777" w:rsidR="000A41D4" w:rsidRPr="000A41D4" w:rsidRDefault="000A41D4" w:rsidP="000A41D4">
      <w:pPr>
        <w:pStyle w:val="normale2"/>
        <w:numPr>
          <w:ilvl w:val="0"/>
          <w:numId w:val="0"/>
        </w:numPr>
        <w:spacing w:after="240"/>
        <w:ind w:left="-284" w:right="4"/>
        <w:rPr>
          <w:rFonts w:eastAsiaTheme="minorHAnsi"/>
          <w:color w:val="auto"/>
          <w:lang w:eastAsia="en-US"/>
        </w:rPr>
      </w:pPr>
      <w:r w:rsidRPr="000A41D4">
        <w:rPr>
          <w:rFonts w:eastAsiaTheme="minorHAnsi"/>
          <w:color w:val="auto"/>
          <w:lang w:eastAsia="en-US"/>
        </w:rPr>
        <w:t>Project DO statement is to prevent, detect, and respond to the threat posed by COVID-19 and strengthen national systems for public health preparedness in Ukraine.</w:t>
      </w:r>
    </w:p>
    <w:p w14:paraId="46C4AE73" w14:textId="77777777" w:rsidR="000A41D4" w:rsidRPr="000A41D4" w:rsidRDefault="000A41D4" w:rsidP="000A41D4">
      <w:pPr>
        <w:pStyle w:val="normale2"/>
        <w:numPr>
          <w:ilvl w:val="0"/>
          <w:numId w:val="0"/>
        </w:numPr>
        <w:spacing w:after="240"/>
        <w:ind w:left="-284" w:right="4"/>
        <w:rPr>
          <w:rFonts w:eastAsiaTheme="minorHAnsi"/>
          <w:color w:val="auto"/>
          <w:lang w:eastAsia="en-US"/>
        </w:rPr>
      </w:pPr>
    </w:p>
    <w:p w14:paraId="02655AE8" w14:textId="77777777" w:rsidR="000A41D4" w:rsidRPr="000A41D4" w:rsidRDefault="000A41D4" w:rsidP="000A41D4">
      <w:pPr>
        <w:pStyle w:val="normale2"/>
        <w:numPr>
          <w:ilvl w:val="0"/>
          <w:numId w:val="0"/>
        </w:numPr>
        <w:spacing w:after="240"/>
        <w:ind w:left="-284" w:right="4"/>
        <w:rPr>
          <w:rFonts w:eastAsiaTheme="minorHAnsi"/>
          <w:color w:val="auto"/>
          <w:lang w:eastAsia="en-US"/>
        </w:rPr>
      </w:pPr>
      <w:r w:rsidRPr="000A41D4">
        <w:rPr>
          <w:rFonts w:eastAsiaTheme="minorHAnsi"/>
          <w:color w:val="auto"/>
          <w:lang w:eastAsia="en-US"/>
        </w:rPr>
        <w:t>PDO level indicators: The PDO will be monitored through the following PDO level outcome indicators</w:t>
      </w:r>
    </w:p>
    <w:p w14:paraId="055D23B1" w14:textId="77777777" w:rsidR="000A41D4" w:rsidRPr="000A41D4" w:rsidRDefault="000A41D4" w:rsidP="000A41D4">
      <w:pPr>
        <w:pStyle w:val="normale2"/>
        <w:numPr>
          <w:ilvl w:val="0"/>
          <w:numId w:val="0"/>
        </w:numPr>
        <w:spacing w:after="240"/>
        <w:ind w:left="-284" w:right="4"/>
        <w:rPr>
          <w:rFonts w:eastAsiaTheme="minorHAnsi"/>
          <w:color w:val="auto"/>
          <w:lang w:eastAsia="en-US"/>
        </w:rPr>
      </w:pPr>
    </w:p>
    <w:p w14:paraId="37F1D9C0" w14:textId="77777777" w:rsidR="0009786D" w:rsidRPr="001C6166" w:rsidRDefault="0009786D" w:rsidP="00EF1D2F">
      <w:pPr>
        <w:pStyle w:val="a4"/>
        <w:widowControl w:val="0"/>
        <w:numPr>
          <w:ilvl w:val="0"/>
          <w:numId w:val="12"/>
        </w:numPr>
        <w:tabs>
          <w:tab w:val="left" w:pos="360"/>
        </w:tabs>
        <w:autoSpaceDE w:val="0"/>
        <w:autoSpaceDN w:val="0"/>
        <w:adjustRightInd w:val="0"/>
        <w:spacing w:after="0" w:line="240" w:lineRule="auto"/>
        <w:ind w:left="360" w:hanging="270"/>
        <w:jc w:val="both"/>
        <w:rPr>
          <w:rFonts w:ascii="Times New Roman" w:hAnsi="Times New Roman" w:cs="Times New Roman"/>
          <w:sz w:val="24"/>
          <w:szCs w:val="24"/>
        </w:rPr>
      </w:pPr>
      <w:r w:rsidRPr="001C6166">
        <w:rPr>
          <w:rFonts w:ascii="Times New Roman" w:hAnsi="Times New Roman" w:cs="Times New Roman"/>
          <w:sz w:val="24"/>
          <w:szCs w:val="24"/>
        </w:rPr>
        <w:t>PDO indicator 1: Number of health care facilities participating in the COVID-19 vaccination program that have modern cold chain and/or waste management equipment;</w:t>
      </w:r>
    </w:p>
    <w:p w14:paraId="543B7C88" w14:textId="77777777" w:rsidR="0009786D" w:rsidRPr="001C6166" w:rsidRDefault="0009786D" w:rsidP="00EF1D2F">
      <w:pPr>
        <w:pStyle w:val="a4"/>
        <w:widowControl w:val="0"/>
        <w:numPr>
          <w:ilvl w:val="0"/>
          <w:numId w:val="12"/>
        </w:numPr>
        <w:tabs>
          <w:tab w:val="left" w:pos="360"/>
        </w:tabs>
        <w:autoSpaceDE w:val="0"/>
        <w:autoSpaceDN w:val="0"/>
        <w:adjustRightInd w:val="0"/>
        <w:spacing w:after="0" w:line="240" w:lineRule="auto"/>
        <w:ind w:left="360" w:hanging="270"/>
        <w:jc w:val="both"/>
        <w:rPr>
          <w:rFonts w:ascii="Times New Roman" w:hAnsi="Times New Roman" w:cs="Times New Roman"/>
          <w:sz w:val="24"/>
          <w:szCs w:val="24"/>
        </w:rPr>
      </w:pPr>
      <w:r w:rsidRPr="001C6166">
        <w:rPr>
          <w:rFonts w:ascii="Times New Roman" w:hAnsi="Times New Roman" w:cs="Times New Roman"/>
          <w:sz w:val="24"/>
          <w:szCs w:val="24"/>
        </w:rPr>
        <w:t>PDO indicator 2: Number of people from priority population groups that have received full COVID-19 vaccination, following agreed protocols and with providers reimbursed by the NHSU; and</w:t>
      </w:r>
    </w:p>
    <w:p w14:paraId="092548D3" w14:textId="77777777" w:rsidR="0009786D" w:rsidRPr="001C6166" w:rsidRDefault="0009786D" w:rsidP="00EF1D2F">
      <w:pPr>
        <w:pStyle w:val="a4"/>
        <w:widowControl w:val="0"/>
        <w:numPr>
          <w:ilvl w:val="0"/>
          <w:numId w:val="12"/>
        </w:numPr>
        <w:tabs>
          <w:tab w:val="left" w:pos="360"/>
        </w:tabs>
        <w:autoSpaceDE w:val="0"/>
        <w:autoSpaceDN w:val="0"/>
        <w:adjustRightInd w:val="0"/>
        <w:spacing w:after="0" w:line="240" w:lineRule="auto"/>
        <w:ind w:left="360" w:hanging="270"/>
        <w:jc w:val="both"/>
        <w:rPr>
          <w:rFonts w:ascii="Times New Roman" w:hAnsi="Times New Roman" w:cs="Times New Roman"/>
          <w:sz w:val="24"/>
          <w:szCs w:val="24"/>
        </w:rPr>
      </w:pPr>
      <w:r w:rsidRPr="001C6166">
        <w:rPr>
          <w:rFonts w:ascii="Times New Roman" w:hAnsi="Times New Roman" w:cs="Times New Roman"/>
          <w:sz w:val="24"/>
          <w:szCs w:val="24"/>
        </w:rPr>
        <w:t>PDO indicator 3: Daily maximum number of government-financed tests for COVID-19.</w:t>
      </w:r>
    </w:p>
    <w:p w14:paraId="5E336A70" w14:textId="77777777" w:rsidR="000A41D4" w:rsidRPr="000A41D4" w:rsidRDefault="000A41D4" w:rsidP="000A41D4">
      <w:pPr>
        <w:pStyle w:val="normale2"/>
        <w:numPr>
          <w:ilvl w:val="0"/>
          <w:numId w:val="0"/>
        </w:numPr>
        <w:spacing w:after="240"/>
        <w:ind w:left="-284" w:right="4"/>
        <w:rPr>
          <w:rFonts w:eastAsiaTheme="minorHAnsi"/>
          <w:color w:val="auto"/>
          <w:lang w:eastAsia="en-US"/>
        </w:rPr>
      </w:pPr>
    </w:p>
    <w:p w14:paraId="6DDF9F81" w14:textId="24432D9F" w:rsidR="00CB2933" w:rsidRPr="00D24516" w:rsidRDefault="00CB2933" w:rsidP="00D24516">
      <w:pPr>
        <w:pStyle w:val="1"/>
        <w:ind w:left="-284"/>
        <w:jc w:val="both"/>
        <w:rPr>
          <w:rFonts w:eastAsiaTheme="minorHAnsi" w:cs="Times New Roman"/>
          <w:szCs w:val="24"/>
          <w:lang w:val="uk-UA"/>
        </w:rPr>
      </w:pPr>
      <w:bookmarkStart w:id="4" w:name="_Toc65760303"/>
      <w:r w:rsidRPr="007518F8">
        <w:rPr>
          <w:rFonts w:eastAsiaTheme="minorHAnsi" w:cs="Times New Roman"/>
          <w:szCs w:val="24"/>
        </w:rPr>
        <w:t>1.</w:t>
      </w:r>
      <w:r w:rsidRPr="00D24516">
        <w:rPr>
          <w:rFonts w:eastAsiaTheme="minorHAnsi" w:cs="Times New Roman"/>
          <w:szCs w:val="24"/>
        </w:rPr>
        <w:t>3 Project components</w:t>
      </w:r>
      <w:bookmarkEnd w:id="4"/>
    </w:p>
    <w:p w14:paraId="0C8ECAEA" w14:textId="77777777" w:rsidR="00306A57" w:rsidRPr="00D24516" w:rsidRDefault="00306A57" w:rsidP="00D24516">
      <w:pPr>
        <w:pStyle w:val="a4"/>
        <w:ind w:left="-284" w:firstLine="284"/>
        <w:jc w:val="both"/>
        <w:rPr>
          <w:rFonts w:ascii="Times New Roman" w:hAnsi="Times New Roman" w:cs="Times New Roman"/>
          <w:sz w:val="24"/>
          <w:szCs w:val="24"/>
        </w:rPr>
      </w:pPr>
    </w:p>
    <w:p w14:paraId="5D0B1FF7"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The proposed project is structured to help prepare the health system to rollout the first phase of COVID-19 vaccination to priority population groups and support COVID-19 response</w:t>
      </w:r>
      <w:r w:rsidRPr="00D24516">
        <w:rPr>
          <w:rFonts w:ascii="Times New Roman" w:hAnsi="Times New Roman" w:cs="Times New Roman"/>
          <w:sz w:val="24"/>
          <w:szCs w:val="24"/>
        </w:rPr>
        <w:t>. It consists of 2 components. The first component will directly finance needed investments by the MOH, while the second component will finance eligible deployment expenditures subject to the achievement of PBCs.</w:t>
      </w:r>
    </w:p>
    <w:p w14:paraId="0ED61FF9" w14:textId="77777777" w:rsidR="00306A57" w:rsidRPr="00D24516" w:rsidRDefault="00306A57" w:rsidP="00D24516">
      <w:pPr>
        <w:pStyle w:val="a4"/>
        <w:ind w:left="-284" w:firstLine="284"/>
        <w:jc w:val="both"/>
        <w:rPr>
          <w:rFonts w:ascii="Times New Roman" w:hAnsi="Times New Roman" w:cs="Times New Roman"/>
          <w:sz w:val="24"/>
          <w:szCs w:val="24"/>
        </w:rPr>
      </w:pPr>
    </w:p>
    <w:p w14:paraId="479553BF"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 xml:space="preserve">Component 1: Strengthen public health system for COVID-19 response (US$ 60 million). </w:t>
      </w:r>
      <w:r w:rsidRPr="00D24516">
        <w:rPr>
          <w:rFonts w:ascii="Times New Roman" w:hAnsi="Times New Roman" w:cs="Times New Roman"/>
          <w:sz w:val="24"/>
          <w:szCs w:val="24"/>
        </w:rPr>
        <w:t xml:space="preserve">This component will cover COVID-19 vaccine procurement for at least 2 million people and any associated costs not covered by COVAX (storage, in-country logistics to the regional and sub-regional levels), procurement of goods to prepare the health system for COVID-19 vaccination deployment (cold chain, storage, logistics, waste management), elements of vaccination campaigns, and development of essential vaccine management information systems. It will also support activities to further expand testing capacity. Strong testing is essential for vaccine surveillance to monitor the vaccine-induced immunity with testing on a population level and the real-world effectiveness of COVID-19 vaccines and variations across different locations and populations. Further, testing is an essential part of prevention, which will remain critical given that vaccine coverage will be incomplete and focused on priority populations for some time due to global supply limitations. </w:t>
      </w:r>
    </w:p>
    <w:p w14:paraId="46BA9A62" w14:textId="77777777" w:rsidR="00306A57" w:rsidRPr="00D24516" w:rsidRDefault="00306A57" w:rsidP="00D24516">
      <w:pPr>
        <w:pStyle w:val="a4"/>
        <w:ind w:left="-284" w:firstLine="284"/>
        <w:jc w:val="both"/>
        <w:rPr>
          <w:rFonts w:ascii="Times New Roman" w:hAnsi="Times New Roman" w:cs="Times New Roman"/>
          <w:b/>
          <w:bCs/>
          <w:sz w:val="24"/>
          <w:szCs w:val="24"/>
        </w:rPr>
      </w:pPr>
    </w:p>
    <w:p w14:paraId="7FC16CD3" w14:textId="77777777" w:rsidR="00306A57" w:rsidRPr="00D24516" w:rsidRDefault="00306A57" w:rsidP="00D24516">
      <w:pPr>
        <w:ind w:left="-284"/>
        <w:jc w:val="both"/>
        <w:rPr>
          <w:rFonts w:ascii="Times New Roman" w:hAnsi="Times New Roman" w:cs="Times New Roman"/>
          <w:bCs/>
          <w:sz w:val="24"/>
          <w:szCs w:val="24"/>
        </w:rPr>
      </w:pPr>
      <w:r w:rsidRPr="00D24516">
        <w:rPr>
          <w:rFonts w:ascii="Times New Roman" w:hAnsi="Times New Roman" w:cs="Times New Roman"/>
          <w:b/>
          <w:bCs/>
          <w:sz w:val="24"/>
          <w:szCs w:val="24"/>
        </w:rPr>
        <w:t>Subcomponent 1.1 COVID-19 vaccination support (US$ 40 million)</w:t>
      </w:r>
      <w:r w:rsidRPr="00D24516">
        <w:rPr>
          <w:rFonts w:ascii="Times New Roman" w:hAnsi="Times New Roman" w:cs="Times New Roman"/>
          <w:sz w:val="24"/>
          <w:szCs w:val="24"/>
        </w:rPr>
        <w:t xml:space="preserve"> will </w:t>
      </w:r>
      <w:r w:rsidRPr="00D24516">
        <w:rPr>
          <w:rFonts w:ascii="Times New Roman" w:hAnsi="Times New Roman" w:cs="Times New Roman"/>
          <w:bCs/>
          <w:sz w:val="24"/>
          <w:szCs w:val="24"/>
        </w:rPr>
        <w:t xml:space="preserve">finance procurement and delivery of an initial supply of COVID-19 vaccines that </w:t>
      </w:r>
      <w:r w:rsidRPr="00D24516">
        <w:rPr>
          <w:rFonts w:ascii="Times New Roman" w:hAnsi="Times New Roman" w:cs="Times New Roman"/>
          <w:sz w:val="24"/>
          <w:szCs w:val="24"/>
        </w:rPr>
        <w:t xml:space="preserve">satisfy the World Bank’s criteria </w:t>
      </w:r>
      <w:r w:rsidRPr="00D24516">
        <w:rPr>
          <w:rFonts w:ascii="Times New Roman" w:hAnsi="Times New Roman" w:cs="Times New Roman"/>
          <w:bCs/>
          <w:sz w:val="24"/>
          <w:szCs w:val="24"/>
        </w:rPr>
        <w:t xml:space="preserve">for safety and effectiveness. Consistent with the global MPA framework, the World Bank will accept as the threshold for eligibility of IBRD/IDA resources in vaccine purchase either: (i) approval by 3 SRAs in three regions; or (ii) WHO prequalification and approval by 1 SRA. In addition, any COVID-19 vaccines benefitting from World Bank financing (i.e., deployed </w:t>
      </w:r>
      <w:r w:rsidRPr="00D24516">
        <w:rPr>
          <w:rFonts w:ascii="Times New Roman" w:hAnsi="Times New Roman" w:cs="Times New Roman"/>
          <w:sz w:val="24"/>
          <w:szCs w:val="24"/>
        </w:rPr>
        <w:t xml:space="preserve">using World Bank-financed </w:t>
      </w:r>
      <w:r w:rsidRPr="00D24516">
        <w:rPr>
          <w:rFonts w:ascii="Times New Roman" w:hAnsi="Times New Roman" w:cs="Times New Roman"/>
          <w:bCs/>
          <w:sz w:val="24"/>
          <w:szCs w:val="24"/>
        </w:rPr>
        <w:t xml:space="preserve">capacity building and training/logistics, etc.), must also meet these same thresholds, even if </w:t>
      </w:r>
      <w:r w:rsidRPr="00D24516">
        <w:rPr>
          <w:rFonts w:ascii="Times New Roman" w:hAnsi="Times New Roman" w:cs="Times New Roman"/>
          <w:sz w:val="24"/>
          <w:szCs w:val="24"/>
        </w:rPr>
        <w:t xml:space="preserve">the </w:t>
      </w:r>
      <w:r w:rsidRPr="00D24516">
        <w:rPr>
          <w:rFonts w:ascii="Times New Roman" w:hAnsi="Times New Roman" w:cs="Times New Roman"/>
          <w:bCs/>
          <w:sz w:val="24"/>
          <w:szCs w:val="24"/>
        </w:rPr>
        <w:t>vaccine purchase is not directly financed by the project. These requirements have been discussed with and accepted by the MOH</w:t>
      </w:r>
      <w:r w:rsidRPr="00D24516">
        <w:rPr>
          <w:rFonts w:ascii="Times New Roman" w:hAnsi="Times New Roman" w:cs="Times New Roman"/>
          <w:sz w:val="24"/>
          <w:szCs w:val="24"/>
        </w:rPr>
        <w:t xml:space="preserve"> and Ministry of Finance. </w:t>
      </w:r>
    </w:p>
    <w:p w14:paraId="4B8D3CFE"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lastRenderedPageBreak/>
        <w:t xml:space="preserve">The project will finance the procurement of vaccines for 4 percent (or more) of the population beyond the amount that will be fully subsidized by COVAX, as well as the cost of logistics. </w:t>
      </w:r>
      <w:r w:rsidRPr="00D24516">
        <w:rPr>
          <w:rFonts w:ascii="Times New Roman" w:hAnsi="Times New Roman" w:cs="Times New Roman"/>
          <w:sz w:val="24"/>
          <w:szCs w:val="24"/>
        </w:rPr>
        <w:t>It is expected that COVAX will make available vaccines that are sufficient to cover 20 percent of the population. However, only part of this share will be fully subsidized by COVAX. Per latest available information, COVAX will fully subsidize the vaccine for 16 percent of the population and make vaccines for the other 4 percent of the population (or more if prices fall or COVAX funding increases) available to the Government at low prices negotiated with vaccine producers. The World Bank will provide funding for the vaccine for the 4 percent (or more) of the population not fully subsidized by COVAX. The vaccine will be purchased either through COVAX at the negotiated prices or using direct procurements, depending on pricing and availability. Vaccines secured by COVAX (both those fully subsidized and those offered at negotiated prices) will be procured through the UNICEF Supply Division (COVAX’s procurement agent). It is expected that the project will cover the additional costs associated with vaccine procurement needed to cover the 20 percent (or more) of the population, including logistics, storage, materials and equipment. It may cover essential technical assistance to vaccine procurement and deployment that is not budgeted by</w:t>
      </w:r>
      <w:r w:rsidRPr="00D24516">
        <w:rPr>
          <w:rFonts w:ascii="Times New Roman" w:hAnsi="Times New Roman" w:cs="Times New Roman"/>
          <w:sz w:val="24"/>
          <w:szCs w:val="24"/>
          <w:lang w:val="uk-UA"/>
        </w:rPr>
        <w:t xml:space="preserve"> </w:t>
      </w:r>
      <w:r w:rsidRPr="00D24516">
        <w:rPr>
          <w:rFonts w:ascii="Times New Roman" w:hAnsi="Times New Roman" w:cs="Times New Roman"/>
          <w:sz w:val="24"/>
          <w:szCs w:val="24"/>
        </w:rPr>
        <w:t xml:space="preserve">the Government or supported by other development partners. The project can retroactively reimburse expenditures of the Government to procure needed goods and ensure timely supplies of agreed materials before the project is approved. </w:t>
      </w:r>
    </w:p>
    <w:p w14:paraId="0469B524" w14:textId="77777777" w:rsidR="00306A57" w:rsidRPr="00D24516" w:rsidRDefault="00306A57" w:rsidP="00D24516">
      <w:pPr>
        <w:pStyle w:val="a4"/>
        <w:ind w:left="-284" w:firstLine="284"/>
        <w:jc w:val="both"/>
        <w:rPr>
          <w:rFonts w:ascii="Times New Roman" w:hAnsi="Times New Roman" w:cs="Times New Roman"/>
          <w:sz w:val="24"/>
          <w:szCs w:val="24"/>
        </w:rPr>
      </w:pPr>
    </w:p>
    <w:p w14:paraId="6656E9E3"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Because of the recent emergence of COVID-19, there is not yet conclusive data available on the duration of immunity that vaccines will provide</w:t>
      </w:r>
      <w:r w:rsidRPr="00D24516">
        <w:rPr>
          <w:rFonts w:ascii="Times New Roman" w:hAnsi="Times New Roman" w:cs="Times New Roman"/>
          <w:sz w:val="24"/>
          <w:szCs w:val="24"/>
        </w:rPr>
        <w:t>. While some evidence suggests that an enduring immune response will occur, this will not be known with certainty until clinical trials follow participants for several years. As such, this project will allow for re-vaccination efforts if they are warranted by peer-reviewed scientific knowledge at the time. In the case that re-vaccination is required, priority populations (such as health workers and the elderly) will need to be targeted for re-vaccination given constraints on vaccine production capacity and equity considerations (i.e. tradeoffs between broader population coverage and re-vaccination). As a prudent and contingent measure, funding has been retained for re-vaccination, if needed, of such a subset of the population.</w:t>
      </w:r>
    </w:p>
    <w:p w14:paraId="2F579211" w14:textId="77777777" w:rsidR="00306A57" w:rsidRPr="00D24516" w:rsidRDefault="00306A57" w:rsidP="00D24516">
      <w:pPr>
        <w:pStyle w:val="a4"/>
        <w:ind w:left="-284" w:firstLine="284"/>
        <w:jc w:val="both"/>
        <w:rPr>
          <w:rFonts w:ascii="Times New Roman" w:hAnsi="Times New Roman" w:cs="Times New Roman"/>
          <w:sz w:val="24"/>
          <w:szCs w:val="24"/>
        </w:rPr>
      </w:pPr>
    </w:p>
    <w:p w14:paraId="4D8B5F88" w14:textId="0827976A"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This subcomponent will also finance investments in vaccine readiness to address gaps identified in the VRAF</w:t>
      </w:r>
      <w:r w:rsidRPr="00D24516">
        <w:rPr>
          <w:rFonts w:ascii="Times New Roman" w:hAnsi="Times New Roman" w:cs="Times New Roman"/>
          <w:sz w:val="24"/>
          <w:szCs w:val="24"/>
        </w:rPr>
        <w:t>. Based on the current assessment, the following investments are expected to be supported: cold chain and waste management modernization, elements of a vaccination campaign, development of information systems and IT equipment for vaccine management. Procurement criteria that require or promote use of highly energy-efficient appliances/equipment or low-carbon technology will be applied. The project will, however, flexibly respond to evolving needs, including understanding about specific vaccines, epidemiological conditions, and assessment of needs.</w:t>
      </w:r>
    </w:p>
    <w:p w14:paraId="548EDFAB" w14:textId="77777777" w:rsidR="009C2014" w:rsidRDefault="009C2014" w:rsidP="00D24516">
      <w:pPr>
        <w:pStyle w:val="a4"/>
        <w:ind w:left="-284"/>
        <w:jc w:val="both"/>
        <w:rPr>
          <w:rFonts w:ascii="Times New Roman" w:hAnsi="Times New Roman" w:cs="Times New Roman"/>
          <w:b/>
          <w:bCs/>
          <w:sz w:val="24"/>
          <w:szCs w:val="24"/>
        </w:rPr>
      </w:pPr>
    </w:p>
    <w:p w14:paraId="41E99FC8" w14:textId="2BF9408B"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 xml:space="preserve">Cold chain. </w:t>
      </w:r>
      <w:r w:rsidRPr="00D24516">
        <w:rPr>
          <w:rFonts w:ascii="Times New Roman" w:hAnsi="Times New Roman" w:cs="Times New Roman"/>
          <w:sz w:val="24"/>
          <w:szCs w:val="24"/>
        </w:rPr>
        <w:t>The rapid assessment of the available cold chain suggests that there are sufficient resources in the public system to ensure storage of 11,900,000 doses of vaccines that require refrigeration at temperatures between 2°C and 8°C at the national level and 6,877,697 doses (under assumption that storage of 1 dose of vaccine takes 80 cm</w:t>
      </w:r>
      <w:r w:rsidRPr="00D24516">
        <w:rPr>
          <w:rFonts w:ascii="Times New Roman" w:hAnsi="Times New Roman" w:cs="Times New Roman"/>
          <w:sz w:val="24"/>
          <w:szCs w:val="24"/>
          <w:vertAlign w:val="superscript"/>
        </w:rPr>
        <w:t>3</w:t>
      </w:r>
      <w:r w:rsidRPr="00D24516">
        <w:rPr>
          <w:rFonts w:ascii="Times New Roman" w:hAnsi="Times New Roman" w:cs="Times New Roman"/>
          <w:sz w:val="24"/>
          <w:szCs w:val="24"/>
        </w:rPr>
        <w:t xml:space="preserve">) at the regional level, which should be sufficient. In addition, this assumes that doses for up to 5 percent of population (2,000,000 doses) can be stored simultaneously in various storage facilities throughout the country, if received through COVAX. At the same time, refrigerators used for transportation of vaccines are either not safe, as they cannot be opened from inside, or outdated and may need replacement. Depending on the availability of vaccines from different providers, Ukraine may use available capacities for regular temperature vaccines or private providers for transportation and storage of vaccines requiring ultra-cold chain logistics. The related costs will be supported through project resources. Also, replacement of refrigerators available at the service delivery </w:t>
      </w:r>
      <w:r w:rsidRPr="00D24516">
        <w:rPr>
          <w:rFonts w:ascii="Times New Roman" w:hAnsi="Times New Roman" w:cs="Times New Roman"/>
          <w:sz w:val="24"/>
          <w:szCs w:val="24"/>
        </w:rPr>
        <w:lastRenderedPageBreak/>
        <w:t>sites is potentially necessary, as many health care facilities are using outdated refrigerators that are not certified for the storage of vaccines. Ukraine is conducting a detailed assessment of cold chain needs, facilitated by UNICEF. Results of this assessment will further inform the cold chain needs to be financed by the project.</w:t>
      </w:r>
    </w:p>
    <w:p w14:paraId="3AA380E4" w14:textId="77777777" w:rsidR="00306A57" w:rsidRPr="00D24516" w:rsidRDefault="00306A57" w:rsidP="00D24516">
      <w:pPr>
        <w:pStyle w:val="a4"/>
        <w:ind w:left="-284" w:firstLine="284"/>
        <w:jc w:val="both"/>
        <w:rPr>
          <w:rFonts w:ascii="Times New Roman" w:hAnsi="Times New Roman" w:cs="Times New Roman"/>
          <w:sz w:val="24"/>
          <w:szCs w:val="24"/>
        </w:rPr>
      </w:pPr>
    </w:p>
    <w:p w14:paraId="2D947E60"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 xml:space="preserve">Safe management of healthcare waste. </w:t>
      </w:r>
      <w:r w:rsidRPr="00D24516">
        <w:rPr>
          <w:rFonts w:ascii="Times New Roman" w:hAnsi="Times New Roman" w:cs="Times New Roman"/>
          <w:sz w:val="24"/>
          <w:szCs w:val="24"/>
        </w:rPr>
        <w:t>Project activities will assist in ensuring safe medical waste management and disposal systems, as well as mobilizing and training health personnel to set up appropriate procedures on site and for mobile teams engaged in rollout of vaccination. The project will support procurement of 15,000 needle destroyers/incinerators to be available for each vaccination unit, 40 autoclaves, shredders and other disinfection devices to prepare waste for sanitary landfill after disinfection. Improving medical waste management capacity in health facilities will help to ensure proper treatment of medical equipment, protective gear, and other medical waste, especially in flood or wildfire-prone areas</w:t>
      </w:r>
    </w:p>
    <w:p w14:paraId="34C0F0A8" w14:textId="77777777" w:rsidR="00306A57" w:rsidRPr="00D24516" w:rsidRDefault="00306A57" w:rsidP="00D24516">
      <w:pPr>
        <w:pStyle w:val="a4"/>
        <w:ind w:left="-284" w:firstLine="284"/>
        <w:jc w:val="both"/>
        <w:rPr>
          <w:rFonts w:ascii="Times New Roman" w:hAnsi="Times New Roman" w:cs="Times New Roman"/>
          <w:b/>
          <w:bCs/>
          <w:sz w:val="24"/>
          <w:szCs w:val="24"/>
        </w:rPr>
      </w:pPr>
    </w:p>
    <w:p w14:paraId="68DD3751"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Communications campaign and IT systems</w:t>
      </w:r>
      <w:r w:rsidRPr="00D24516">
        <w:rPr>
          <w:rFonts w:ascii="Times New Roman" w:hAnsi="Times New Roman" w:cs="Times New Roman"/>
          <w:sz w:val="24"/>
          <w:szCs w:val="24"/>
        </w:rPr>
        <w:t>. The project will provide complementary support to communication campaign activities financed by other development partners through UNICEF and other organizations (see box 1). It will continue supporting the COVID-19 hotline launched under the COVID-19 component of the SPIH project to provide information and support to people inquiring about the COVID-19 vaccination campaign. Information packages for operators of the hotline to advise on COVID-19 vaccination will be developed by the MOH with support from UNICEF as well as address other communication needs around COVID-19 vaccination, including vaccine hesitancy, eligibility and voluntary nature of participating in COVID-19 vaccination program. Such hotline will continue operating free of charge for users calling from mobile and landline telephones, and are convenient for users, which may have mobility barriers, or cannot access information via internet, and have no or limited digital skills to navigate the information on vaccination process through the phone without assistance. Messaging on COVID-19 vaccination will be targeted to adjust to needs of certain subsections of population (such as elderly, patients with comorbidities, gender of the audience etc.) to avoid any misconceptions or confusions that may prevent vaccine uptake. For tracking of COVID-19 vaccines stocks, vaccination coverage to target eligible populations, COVID-19 vaccine safety monitoring and tracking of adverse effects, available modules in the eHealth system will be upgraded or developed, also with the support from the project if necessary. A reliable system of registration of people receiving COVID-19 vaccines is an important element of the project and will need to be strengthened to keep track of individual level data and the brand name of the vaccine administered. The project will support increasing s</w:t>
      </w:r>
      <w:r w:rsidRPr="00D24516">
        <w:rPr>
          <w:rStyle w:val="normaltextrun"/>
          <w:rFonts w:ascii="Times New Roman" w:hAnsi="Times New Roman" w:cs="Times New Roman"/>
          <w:sz w:val="24"/>
          <w:szCs w:val="24"/>
        </w:rPr>
        <w:t>erver capacity and improving IT systems, including efforts ensuring that these systems are cybersecure, resilient to outages including for connectivity, and follow good practices regarding data protection and privacy.</w:t>
      </w:r>
      <w:r w:rsidRPr="00D24516">
        <w:rPr>
          <w:rFonts w:ascii="Times New Roman" w:hAnsi="Times New Roman" w:cs="Times New Roman"/>
          <w:sz w:val="24"/>
          <w:szCs w:val="24"/>
        </w:rPr>
        <w:t xml:space="preserve"> Procurement of tablets connected to the internet can be supported by the project to secure timely reporting on people vaccinated by mobile brigades.</w:t>
      </w:r>
    </w:p>
    <w:p w14:paraId="09A019E9" w14:textId="77777777" w:rsidR="00306A57" w:rsidRPr="00D24516" w:rsidRDefault="00306A57" w:rsidP="00D24516">
      <w:pPr>
        <w:pStyle w:val="a4"/>
        <w:ind w:left="-284" w:firstLine="284"/>
        <w:jc w:val="both"/>
        <w:rPr>
          <w:rFonts w:ascii="Times New Roman" w:hAnsi="Times New Roman" w:cs="Times New Roman"/>
          <w:sz w:val="24"/>
          <w:szCs w:val="24"/>
        </w:rPr>
      </w:pPr>
    </w:p>
    <w:p w14:paraId="5E0EC04E"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Subcomponent 1.2 COVID-19 testing (US$ 20 million)</w:t>
      </w:r>
      <w:r w:rsidRPr="00D24516">
        <w:rPr>
          <w:rFonts w:ascii="Times New Roman" w:hAnsi="Times New Roman" w:cs="Times New Roman"/>
          <w:sz w:val="24"/>
          <w:szCs w:val="24"/>
        </w:rPr>
        <w:t xml:space="preserve"> will provide laboratory equipment and supplies to further expand access to COVID-19 testing, consistent with WHO guidelines in the Strategic Response Plan. This subcomponent will help strengthen disease surveillance systems through public health laboratories or facility-based systems for detection and confirmation of cases or by contracting private sector providers that can offer additional PCR and antigen testing for people with COVID-19 symptoms referred by the primary care providers. The MOH has estimated additional needs to further develop and expand testing capacities of the laboratories in the country in the amount of UAH 17 billion (US$ 607 million), but the proposed program did not receive financing from the Government in 2021 because of fiscal constraints. The project will invest in further strengthening of the capacity of hub </w:t>
      </w:r>
      <w:r w:rsidRPr="00D24516">
        <w:rPr>
          <w:rFonts w:ascii="Times New Roman" w:hAnsi="Times New Roman" w:cs="Times New Roman"/>
          <w:sz w:val="24"/>
          <w:szCs w:val="24"/>
        </w:rPr>
        <w:lastRenderedPageBreak/>
        <w:t>laboratories (to cover four inter-regional hubs in the eastern, southern, northern and western part of the country), and may support procurement of laboratory tests from private providers which currently cover about one third of total COVID-19 testing and have potential to expand their capacity. Additional support could be provided to strengthen health management information systems to facilitate referrals of eligible patients for COVID-19 testing, recording and on-time virtual sharing of information.</w:t>
      </w:r>
    </w:p>
    <w:p w14:paraId="76F4672B" w14:textId="77777777" w:rsidR="00306A57" w:rsidRPr="00D24516" w:rsidRDefault="00306A57" w:rsidP="00D24516">
      <w:pPr>
        <w:ind w:left="-284" w:firstLine="284"/>
        <w:jc w:val="both"/>
        <w:rPr>
          <w:rFonts w:ascii="Times New Roman" w:hAnsi="Times New Roman" w:cs="Times New Roman"/>
          <w:sz w:val="24"/>
          <w:szCs w:val="24"/>
        </w:rPr>
      </w:pPr>
    </w:p>
    <w:p w14:paraId="1926DFF9" w14:textId="77777777" w:rsidR="00306A57" w:rsidRPr="00D24516" w:rsidRDefault="00306A57" w:rsidP="00D24516">
      <w:pPr>
        <w:pStyle w:val="a4"/>
        <w:ind w:left="-284"/>
        <w:jc w:val="both"/>
        <w:rPr>
          <w:rFonts w:ascii="Times New Roman" w:hAnsi="Times New Roman" w:cs="Times New Roman"/>
          <w:color w:val="000000" w:themeColor="text1"/>
          <w:sz w:val="24"/>
          <w:szCs w:val="24"/>
        </w:rPr>
      </w:pPr>
      <w:r w:rsidRPr="00D24516">
        <w:rPr>
          <w:rFonts w:ascii="Times New Roman" w:hAnsi="Times New Roman" w:cs="Times New Roman"/>
          <w:b/>
          <w:bCs/>
          <w:sz w:val="24"/>
          <w:szCs w:val="24"/>
        </w:rPr>
        <w:t>Component 2: COVID-19 vaccination deployment (US$ 30 million).</w:t>
      </w:r>
      <w:r w:rsidRPr="00D24516">
        <w:rPr>
          <w:rFonts w:ascii="Times New Roman" w:hAnsi="Times New Roman" w:cs="Times New Roman"/>
          <w:sz w:val="24"/>
          <w:szCs w:val="24"/>
        </w:rPr>
        <w:t xml:space="preserve"> It is expected that the Government of Ukraine will finance the delivery of COVID-19 vaccines to eligible populations by introducing a separate COVID-19 vaccination package into the Program of Medical Guarantees administered by the NHSU. This package will provide resources to cover the additional costs (beyond the actual vaccines) associated with the rollout of the COVID-19 vaccination program, including “surge staffing” (i.e., additional staff time or additional staff needed to provide COVID-19 vaccination), hazard pay, additional PPEs, fuel, small consumables etc. Public providers will be contracted by NHSU for the provision of COVID-19 vaccination to target groups and will be paid agreed fees. The NHSU will use template contracts agreed with the World Bank for contracting of providers. This component will reimburse the cost of providers for completion of COVID-19 vaccination for individuals from priority populations. The financing of these payments will be conditional on the project achieving agreed PBCs to ensure that vaccines are administered to people from the prioritized population groups. The costs will be reimbursed if the vaccines administered to people from priority groups supported by the project meet the vaccine eligibility criteria of the World Bank. </w:t>
      </w:r>
    </w:p>
    <w:p w14:paraId="036B16F9" w14:textId="77777777" w:rsidR="00306A57" w:rsidRPr="00D24516" w:rsidRDefault="00306A57" w:rsidP="00D24516">
      <w:pPr>
        <w:pStyle w:val="a4"/>
        <w:ind w:left="-284" w:firstLine="284"/>
        <w:jc w:val="both"/>
        <w:rPr>
          <w:rFonts w:ascii="Times New Roman" w:hAnsi="Times New Roman" w:cs="Times New Roman"/>
          <w:sz w:val="24"/>
          <w:szCs w:val="24"/>
        </w:rPr>
      </w:pPr>
    </w:p>
    <w:p w14:paraId="3E5CF4D2" w14:textId="77777777" w:rsidR="00306A57" w:rsidRPr="00D24516" w:rsidRDefault="00306A57" w:rsidP="00D24516">
      <w:pPr>
        <w:pStyle w:val="a4"/>
        <w:ind w:left="-284"/>
        <w:jc w:val="both"/>
        <w:rPr>
          <w:rFonts w:ascii="Times New Roman" w:hAnsi="Times New Roman" w:cs="Times New Roman"/>
          <w:sz w:val="24"/>
          <w:szCs w:val="24"/>
        </w:rPr>
      </w:pPr>
      <w:r w:rsidRPr="00D24516">
        <w:rPr>
          <w:rFonts w:ascii="Times New Roman" w:hAnsi="Times New Roman" w:cs="Times New Roman"/>
          <w:b/>
          <w:bCs/>
          <w:sz w:val="24"/>
          <w:szCs w:val="24"/>
        </w:rPr>
        <w:t xml:space="preserve">The project will support deployment to select priority population groups identified in the National COVID-19 Vaccine Deployment Roadmap. </w:t>
      </w:r>
      <w:r w:rsidRPr="00D24516">
        <w:rPr>
          <w:rFonts w:ascii="Times New Roman" w:hAnsi="Times New Roman" w:cs="Times New Roman"/>
          <w:sz w:val="24"/>
          <w:szCs w:val="24"/>
        </w:rPr>
        <w:t>In agreement with the MOH and Ministry of Finance, these populations include</w:t>
      </w:r>
      <w:r w:rsidRPr="00D24516">
        <w:rPr>
          <w:rFonts w:ascii="Times New Roman" w:hAnsi="Times New Roman" w:cs="Times New Roman"/>
          <w:b/>
          <w:bCs/>
          <w:sz w:val="24"/>
          <w:szCs w:val="24"/>
        </w:rPr>
        <w:t xml:space="preserve"> </w:t>
      </w:r>
      <w:r w:rsidRPr="00D24516">
        <w:rPr>
          <w:rFonts w:ascii="Times New Roman" w:hAnsi="Times New Roman" w:cs="Times New Roman"/>
          <w:sz w:val="24"/>
          <w:szCs w:val="24"/>
        </w:rPr>
        <w:t xml:space="preserve">staff of health care facilities (medical and non-medical), social workers, residents and staff of long-term care facilities, people aged 60 years and older, teachers and education workers, and adults with comorbidities. Stages of vaccine roll-out to these groups are being finalized and will be provided in the updated National COVID-19 Vaccination Roadmap. The software used for tracking of vaccines administered to eligible groups will also track individual-level data such as age, sex, specific type of vaccine, number of doses received by each person, place and date of vaccination (among other attributes agreed with the Government).   </w:t>
      </w:r>
    </w:p>
    <w:p w14:paraId="0F28F622" w14:textId="77777777" w:rsidR="00306A57" w:rsidRPr="00D24516" w:rsidRDefault="00306A57" w:rsidP="00D24516">
      <w:pPr>
        <w:pStyle w:val="a4"/>
        <w:ind w:left="-284" w:firstLine="284"/>
        <w:jc w:val="both"/>
        <w:rPr>
          <w:rFonts w:ascii="Times New Roman" w:hAnsi="Times New Roman" w:cs="Times New Roman"/>
          <w:sz w:val="24"/>
          <w:szCs w:val="24"/>
        </w:rPr>
      </w:pPr>
    </w:p>
    <w:p w14:paraId="19F2E179" w14:textId="3B58E73F" w:rsidR="00306A57" w:rsidRPr="003675B2" w:rsidRDefault="00306A57" w:rsidP="003675B2">
      <w:pPr>
        <w:pStyle w:val="a4"/>
        <w:ind w:left="-284"/>
        <w:jc w:val="both"/>
        <w:rPr>
          <w:rFonts w:ascii="Times New Roman" w:hAnsi="Times New Roman" w:cs="Times New Roman"/>
          <w:color w:val="000000" w:themeColor="text1"/>
          <w:sz w:val="24"/>
          <w:szCs w:val="24"/>
        </w:rPr>
      </w:pPr>
      <w:r w:rsidRPr="00D24516">
        <w:rPr>
          <w:rFonts w:ascii="Times New Roman" w:hAnsi="Times New Roman" w:cs="Times New Roman"/>
          <w:b/>
          <w:bCs/>
          <w:sz w:val="24"/>
          <w:szCs w:val="24"/>
        </w:rPr>
        <w:t>The project will finance eligible expenditures carried out by the NHSU within the COVID-19 vaccination package of service</w:t>
      </w:r>
      <w:r w:rsidRPr="00D24516">
        <w:rPr>
          <w:rFonts w:ascii="Times New Roman" w:hAnsi="Times New Roman" w:cs="Times New Roman"/>
          <w:sz w:val="24"/>
          <w:szCs w:val="24"/>
        </w:rPr>
        <w:t>, upon achievement of PBCs. The PBCs are linked to the vaccination coverage of priority groups of population according to approved protocols (as defined in the National COVID-19 Vaccine Deployment Plan) by NHSU-contracted facilities. The NHSU and the World Bank will jointly review and approve procurement and anticorruption provisions that will be used for contracting eligible providers that meet set requirements (in terms of staffing, resources, use of waste management protocols, use of the IT system pre-agreed with the World Bank for recording information on vaccinated people, etc.). COVID-19 vaccination protocols will be additionally approved by the MoH and will be mandatory for use by contracted providers. The PBC results will be disaggregated by age group and sex when reported by the MOH. The PBC is linked to PDO indicator 2 (Number of individuals from priority population groups have received full COVID-19 vaccination from eligible providers in accordance with the agreed protocols). The targets of each PBC are cumulative, such that the project will support deployment of vaccines to a total of 10 million people</w:t>
      </w:r>
      <w:r w:rsidR="003675B2">
        <w:rPr>
          <w:rFonts w:ascii="Times New Roman" w:hAnsi="Times New Roman" w:cs="Times New Roman"/>
          <w:sz w:val="24"/>
          <w:szCs w:val="24"/>
        </w:rPr>
        <w:t>.</w:t>
      </w:r>
    </w:p>
    <w:p w14:paraId="704D09B3" w14:textId="7620C200" w:rsidR="001E2311" w:rsidRPr="007518F8" w:rsidRDefault="00FC5D9C" w:rsidP="000A41D4">
      <w:pPr>
        <w:pStyle w:val="1"/>
        <w:ind w:left="-284"/>
        <w:rPr>
          <w:rFonts w:cs="Times New Roman"/>
          <w:szCs w:val="24"/>
        </w:rPr>
      </w:pPr>
      <w:bookmarkStart w:id="5" w:name="_Toc65760304"/>
      <w:r w:rsidRPr="007518F8">
        <w:rPr>
          <w:rFonts w:cs="Times New Roman"/>
          <w:szCs w:val="24"/>
        </w:rPr>
        <w:lastRenderedPageBreak/>
        <w:t>1.</w:t>
      </w:r>
      <w:r w:rsidRPr="007518F8">
        <w:rPr>
          <w:rFonts w:cs="Times New Roman"/>
          <w:szCs w:val="24"/>
          <w:lang w:val="uk-UA"/>
        </w:rPr>
        <w:t>4</w:t>
      </w:r>
      <w:r w:rsidR="008901BA" w:rsidRPr="007518F8">
        <w:rPr>
          <w:rFonts w:cs="Times New Roman"/>
          <w:szCs w:val="24"/>
        </w:rPr>
        <w:t xml:space="preserve"> Objectives and scope of Stakeholder Engagement Plan</w:t>
      </w:r>
      <w:bookmarkEnd w:id="5"/>
    </w:p>
    <w:p w14:paraId="567A1768" w14:textId="77777777" w:rsidR="00FC5D9C" w:rsidRPr="007518F8" w:rsidRDefault="00FC5D9C" w:rsidP="000A41D4">
      <w:pPr>
        <w:ind w:left="-284"/>
        <w:jc w:val="both"/>
        <w:rPr>
          <w:rFonts w:ascii="Times New Roman" w:hAnsi="Times New Roman" w:cs="Times New Roman"/>
          <w:sz w:val="24"/>
          <w:szCs w:val="24"/>
        </w:rPr>
      </w:pPr>
    </w:p>
    <w:p w14:paraId="24E0C288" w14:textId="599722A0" w:rsidR="00FC5D9C" w:rsidRPr="007518F8" w:rsidRDefault="00FC5D9C"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Project is being prepared under the World Bank’s Environment and Social Framework (ESF). The ESS 10 </w:t>
      </w:r>
      <w:r w:rsidR="00C27F71" w:rsidRPr="007518F8">
        <w:rPr>
          <w:rFonts w:ascii="Times New Roman" w:hAnsi="Times New Roman" w:cs="Times New Roman"/>
          <w:sz w:val="24"/>
          <w:szCs w:val="24"/>
        </w:rPr>
        <w:t>is</w:t>
      </w:r>
      <w:r w:rsidRPr="007518F8">
        <w:rPr>
          <w:rFonts w:ascii="Times New Roman" w:hAnsi="Times New Roman" w:cs="Times New Roman"/>
          <w:sz w:val="24"/>
          <w:szCs w:val="24"/>
        </w:rPr>
        <w:t xml:space="preserve"> relevant for the project.</w:t>
      </w:r>
    </w:p>
    <w:p w14:paraId="5D939566" w14:textId="1170A239" w:rsidR="00FC5D9C" w:rsidRPr="007518F8" w:rsidRDefault="00FC5D9C"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ESS 10 and Stakeholder Engagement Plan (SEP). As per the Environmenta</w:t>
      </w:r>
      <w:r w:rsidR="00393EB6" w:rsidRPr="007518F8">
        <w:rPr>
          <w:rFonts w:ascii="Times New Roman" w:hAnsi="Times New Roman" w:cs="Times New Roman"/>
          <w:sz w:val="24"/>
          <w:szCs w:val="24"/>
        </w:rPr>
        <w:t>l and Social Standard ESS 10</w:t>
      </w:r>
      <w:r w:rsidR="00C27F71" w:rsidRPr="007518F8">
        <w:rPr>
          <w:rFonts w:ascii="Times New Roman" w:hAnsi="Times New Roman" w:cs="Times New Roman"/>
          <w:sz w:val="24"/>
          <w:szCs w:val="24"/>
        </w:rPr>
        <w:t>,</w:t>
      </w:r>
      <w:r w:rsidR="00393EB6" w:rsidRPr="007518F8">
        <w:rPr>
          <w:rFonts w:ascii="Times New Roman" w:hAnsi="Times New Roman" w:cs="Times New Roman"/>
          <w:sz w:val="24"/>
          <w:szCs w:val="24"/>
        </w:rPr>
        <w:t xml:space="preserve"> </w:t>
      </w:r>
      <w:r w:rsidRPr="007518F8">
        <w:rPr>
          <w:rFonts w:ascii="Times New Roman" w:hAnsi="Times New Roman" w:cs="Times New Roman"/>
          <w:sz w:val="24"/>
          <w:szCs w:val="24"/>
        </w:rPr>
        <w:t>Stakeholders Engagement and Information Disclosure</w:t>
      </w:r>
      <w:r w:rsidR="00067A31" w:rsidRPr="007518F8">
        <w:rPr>
          <w:rFonts w:ascii="Times New Roman" w:hAnsi="Times New Roman" w:cs="Times New Roman"/>
          <w:sz w:val="24"/>
          <w:szCs w:val="24"/>
        </w:rPr>
        <w:t xml:space="preserve">, </w:t>
      </w:r>
      <w:r w:rsidRPr="007518F8">
        <w:rPr>
          <w:rFonts w:ascii="Times New Roman" w:hAnsi="Times New Roman" w:cs="Times New Roman"/>
          <w:sz w:val="24"/>
          <w:szCs w:val="24"/>
        </w:rPr>
        <w:t>the implementing agenc</w:t>
      </w:r>
      <w:r w:rsidR="00393EB6" w:rsidRPr="007518F8">
        <w:rPr>
          <w:rFonts w:ascii="Times New Roman" w:hAnsi="Times New Roman" w:cs="Times New Roman"/>
          <w:sz w:val="24"/>
          <w:szCs w:val="24"/>
        </w:rPr>
        <w:t xml:space="preserve">ies should provide stakeholders </w:t>
      </w:r>
      <w:r w:rsidRPr="007518F8">
        <w:rPr>
          <w:rFonts w:ascii="Times New Roman" w:hAnsi="Times New Roman" w:cs="Times New Roman"/>
          <w:sz w:val="24"/>
          <w:szCs w:val="24"/>
        </w:rPr>
        <w:t>with timely, relevant, understandable and accessible information, and co</w:t>
      </w:r>
      <w:r w:rsidR="00393EB6" w:rsidRPr="007518F8">
        <w:rPr>
          <w:rFonts w:ascii="Times New Roman" w:hAnsi="Times New Roman" w:cs="Times New Roman"/>
          <w:sz w:val="24"/>
          <w:szCs w:val="24"/>
        </w:rPr>
        <w:t xml:space="preserve">nsult with them in a culturally </w:t>
      </w:r>
      <w:r w:rsidRPr="007518F8">
        <w:rPr>
          <w:rFonts w:ascii="Times New Roman" w:hAnsi="Times New Roman" w:cs="Times New Roman"/>
          <w:sz w:val="24"/>
          <w:szCs w:val="24"/>
        </w:rPr>
        <w:t>appropriate manner, which is free of manipulation, interference, coercion, discrimi</w:t>
      </w:r>
      <w:r w:rsidR="00393EB6" w:rsidRPr="007518F8">
        <w:rPr>
          <w:rFonts w:ascii="Times New Roman" w:hAnsi="Times New Roman" w:cs="Times New Roman"/>
          <w:sz w:val="24"/>
          <w:szCs w:val="24"/>
        </w:rPr>
        <w:t xml:space="preserve">nation and intimidation. The </w:t>
      </w:r>
      <w:r w:rsidRPr="007518F8">
        <w:rPr>
          <w:rFonts w:ascii="Times New Roman" w:hAnsi="Times New Roman" w:cs="Times New Roman"/>
          <w:sz w:val="24"/>
          <w:szCs w:val="24"/>
        </w:rPr>
        <w:t>overall objective of this SEP is to define a program for stakeholder engagemen</w:t>
      </w:r>
      <w:r w:rsidR="00393EB6" w:rsidRPr="007518F8">
        <w:rPr>
          <w:rFonts w:ascii="Times New Roman" w:hAnsi="Times New Roman" w:cs="Times New Roman"/>
          <w:sz w:val="24"/>
          <w:szCs w:val="24"/>
        </w:rPr>
        <w:t xml:space="preserve">t, including public information </w:t>
      </w:r>
      <w:r w:rsidRPr="007518F8">
        <w:rPr>
          <w:rFonts w:ascii="Times New Roman" w:hAnsi="Times New Roman" w:cs="Times New Roman"/>
          <w:sz w:val="24"/>
          <w:szCs w:val="24"/>
        </w:rPr>
        <w:t>disclosure and consultation, throughout the entire project cycle.</w:t>
      </w:r>
    </w:p>
    <w:p w14:paraId="01D75A87" w14:textId="77777777" w:rsidR="001E2311" w:rsidRPr="007518F8" w:rsidRDefault="001E2311"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stakeholder engagement process pertains to the meaningful involvement of, and communication with, project partners, project affected populations, including identified vulnerable and disadvantaged populations and other interested parties over the life cycle of the project. </w:t>
      </w:r>
      <w:r w:rsidRPr="007518F8">
        <w:rPr>
          <w:rFonts w:ascii="Times New Roman" w:eastAsia="Times New Roman" w:hAnsi="Times New Roman" w:cs="Times New Roman"/>
          <w:sz w:val="24"/>
          <w:szCs w:val="24"/>
        </w:rPr>
        <w:t xml:space="preserve">Utilizing a range of participatory instruments, </w:t>
      </w:r>
      <w:r w:rsidRPr="007518F8">
        <w:rPr>
          <w:rFonts w:ascii="Times New Roman" w:hAnsi="Times New Roman" w:cs="Times New Roman"/>
          <w:sz w:val="24"/>
          <w:szCs w:val="24"/>
        </w:rPr>
        <w:t xml:space="preserve">a SEP enables: i) the </w:t>
      </w:r>
      <w:r w:rsidRPr="007518F8">
        <w:rPr>
          <w:rFonts w:ascii="Times New Roman" w:eastAsia="Times New Roman" w:hAnsi="Times New Roman" w:cs="Times New Roman"/>
          <w:sz w:val="24"/>
          <w:szCs w:val="24"/>
        </w:rPr>
        <w:t xml:space="preserve">sharing of information and establishment of rapport with project partners and local populations affected by the project’s activities, </w:t>
      </w:r>
      <w:r w:rsidRPr="007518F8">
        <w:rPr>
          <w:rFonts w:ascii="Times New Roman" w:hAnsi="Times New Roman" w:cs="Times New Roman"/>
          <w:sz w:val="24"/>
          <w:szCs w:val="24"/>
        </w:rPr>
        <w:t xml:space="preserve">ii) </w:t>
      </w:r>
      <w:r w:rsidRPr="007518F8">
        <w:rPr>
          <w:rFonts w:ascii="Times New Roman" w:eastAsia="Times New Roman" w:hAnsi="Times New Roman" w:cs="Times New Roman"/>
          <w:sz w:val="24"/>
          <w:szCs w:val="24"/>
        </w:rPr>
        <w:t>identification of their needs and interests,</w:t>
      </w:r>
      <w:r w:rsidRPr="007518F8">
        <w:rPr>
          <w:rFonts w:ascii="Times New Roman" w:hAnsi="Times New Roman" w:cs="Times New Roman"/>
          <w:sz w:val="24"/>
          <w:szCs w:val="24"/>
        </w:rPr>
        <w:t xml:space="preserve"> iii) </w:t>
      </w:r>
      <w:r w:rsidRPr="007518F8">
        <w:rPr>
          <w:rFonts w:ascii="Times New Roman" w:eastAsia="Times New Roman" w:hAnsi="Times New Roman" w:cs="Times New Roman"/>
          <w:sz w:val="24"/>
          <w:szCs w:val="24"/>
        </w:rPr>
        <w:t>detection of any environmental and social risks pertaining to the project, as well as iv) to outline ongoing activities that seek to mitigate the identified risks in a systematic manner.</w:t>
      </w:r>
    </w:p>
    <w:p w14:paraId="3DB892CF" w14:textId="5C16A407" w:rsidR="001E2311" w:rsidRPr="007518F8" w:rsidRDefault="001E2311"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Active stakeholder engagement supports the development of strong, constructive and responsive relationships that are important for successful management of environmental and social risks identified in a project. Communicating early, often, and clearly with stakeholders helps to manage mutual expectations and avoid potential </w:t>
      </w:r>
      <w:r w:rsidR="00C27F71" w:rsidRPr="007518F8">
        <w:rPr>
          <w:rFonts w:ascii="Times New Roman" w:hAnsi="Times New Roman" w:cs="Times New Roman"/>
          <w:sz w:val="24"/>
          <w:szCs w:val="24"/>
        </w:rPr>
        <w:t>conflict and</w:t>
      </w:r>
      <w:r w:rsidRPr="007518F8">
        <w:rPr>
          <w:rFonts w:ascii="Times New Roman" w:hAnsi="Times New Roman" w:cs="Times New Roman"/>
          <w:sz w:val="24"/>
          <w:szCs w:val="24"/>
        </w:rPr>
        <w:t xml:space="preserve"> project delays.</w:t>
      </w:r>
    </w:p>
    <w:p w14:paraId="6CE4D7A8" w14:textId="77777777" w:rsidR="001E2311" w:rsidRPr="007518F8" w:rsidRDefault="001E2311" w:rsidP="000A41D4">
      <w:pPr>
        <w:ind w:left="-284"/>
        <w:jc w:val="both"/>
        <w:rPr>
          <w:rFonts w:ascii="Times New Roman" w:hAnsi="Times New Roman" w:cs="Times New Roman"/>
          <w:sz w:val="24"/>
          <w:szCs w:val="24"/>
        </w:rPr>
      </w:pPr>
      <w:r w:rsidRPr="007518F8">
        <w:rPr>
          <w:rFonts w:ascii="Times New Roman" w:hAnsi="Times New Roman" w:cs="Times New Roman"/>
          <w:bCs/>
          <w:sz w:val="24"/>
          <w:szCs w:val="24"/>
        </w:rPr>
        <w:t>The SEP presented outlines the stakeholder engagement undertaken within the Ukraine emergency COVID-19 response</w:t>
      </w:r>
      <w:r w:rsidR="00631A31" w:rsidRPr="007518F8">
        <w:rPr>
          <w:rFonts w:ascii="Times New Roman" w:hAnsi="Times New Roman" w:cs="Times New Roman"/>
          <w:bCs/>
          <w:sz w:val="24"/>
          <w:szCs w:val="24"/>
        </w:rPr>
        <w:t xml:space="preserve"> and vaccination</w:t>
      </w:r>
      <w:r w:rsidRPr="007518F8">
        <w:rPr>
          <w:rFonts w:ascii="Times New Roman" w:hAnsi="Times New Roman" w:cs="Times New Roman"/>
          <w:bCs/>
          <w:sz w:val="24"/>
          <w:szCs w:val="24"/>
        </w:rPr>
        <w:t xml:space="preserve"> Project.</w:t>
      </w:r>
      <w:r w:rsidRPr="007518F8">
        <w:rPr>
          <w:rFonts w:ascii="Times New Roman" w:hAnsi="Times New Roman" w:cs="Times New Roman"/>
          <w:color w:val="000000"/>
          <w:sz w:val="24"/>
          <w:szCs w:val="24"/>
        </w:rPr>
        <w:t xml:space="preserve"> </w:t>
      </w:r>
      <w:r w:rsidRPr="007518F8">
        <w:rPr>
          <w:rFonts w:ascii="Times New Roman" w:hAnsi="Times New Roman" w:cs="Times New Roman"/>
          <w:sz w:val="24"/>
          <w:szCs w:val="24"/>
        </w:rPr>
        <w:t>It is structured in five parts: (i) stakeholder identification and analysis; (ii) planning on ways to engage; (iii) consultation with stakeholders; (iv) monitoring, reporting and disclosure of information; and (v) grievance and redress mechanism modalities.</w:t>
      </w:r>
    </w:p>
    <w:p w14:paraId="22322B50" w14:textId="4F3F5DCC" w:rsidR="001E2311" w:rsidRPr="007518F8" w:rsidRDefault="001E2311" w:rsidP="000A41D4">
      <w:pPr>
        <w:ind w:left="-284"/>
        <w:jc w:val="both"/>
        <w:rPr>
          <w:rFonts w:ascii="Times New Roman" w:hAnsi="Times New Roman" w:cs="Times New Roman"/>
          <w:sz w:val="24"/>
          <w:szCs w:val="24"/>
        </w:rPr>
      </w:pPr>
      <w:r w:rsidRPr="007518F8">
        <w:rPr>
          <w:rFonts w:ascii="Times New Roman" w:hAnsi="Times New Roman" w:cs="Times New Roman"/>
          <w:bCs/>
          <w:sz w:val="24"/>
          <w:szCs w:val="24"/>
        </w:rPr>
        <w:t xml:space="preserve">The SEP was </w:t>
      </w:r>
      <w:r w:rsidR="00C27F71" w:rsidRPr="007518F8">
        <w:rPr>
          <w:rFonts w:ascii="Times New Roman" w:hAnsi="Times New Roman" w:cs="Times New Roman"/>
          <w:bCs/>
          <w:sz w:val="24"/>
          <w:szCs w:val="24"/>
        </w:rPr>
        <w:t>prepared,</w:t>
      </w:r>
      <w:r w:rsidRPr="007518F8">
        <w:rPr>
          <w:rFonts w:ascii="Times New Roman" w:hAnsi="Times New Roman" w:cs="Times New Roman"/>
          <w:bCs/>
          <w:sz w:val="24"/>
          <w:szCs w:val="24"/>
        </w:rPr>
        <w:t xml:space="preserve"> and it will be implemented by the </w:t>
      </w:r>
      <w:r w:rsidRPr="007518F8">
        <w:rPr>
          <w:rFonts w:ascii="Times New Roman" w:hAnsi="Times New Roman" w:cs="Times New Roman"/>
          <w:color w:val="000000"/>
          <w:sz w:val="24"/>
          <w:szCs w:val="24"/>
        </w:rPr>
        <w:t>M</w:t>
      </w:r>
      <w:r w:rsidR="00067A31" w:rsidRPr="007518F8">
        <w:rPr>
          <w:rFonts w:ascii="Times New Roman" w:hAnsi="Times New Roman" w:cs="Times New Roman"/>
          <w:color w:val="000000"/>
          <w:sz w:val="24"/>
          <w:szCs w:val="24"/>
        </w:rPr>
        <w:t>OH</w:t>
      </w:r>
      <w:r w:rsidRPr="007518F8">
        <w:rPr>
          <w:rFonts w:ascii="Times New Roman" w:hAnsi="Times New Roman" w:cs="Times New Roman"/>
          <w:color w:val="000000"/>
          <w:sz w:val="24"/>
          <w:szCs w:val="24"/>
        </w:rPr>
        <w:t xml:space="preserve"> with the daily follow up of already established PIU. </w:t>
      </w:r>
      <w:r w:rsidRPr="007518F8">
        <w:rPr>
          <w:rFonts w:ascii="Times New Roman" w:hAnsi="Times New Roman" w:cs="Times New Roman"/>
          <w:sz w:val="24"/>
          <w:szCs w:val="24"/>
        </w:rPr>
        <w:t xml:space="preserve">SEP is designed to accommodate the needs and circumstances of different stakeholders, paying special attention to identified disadvantaged or vulnerable individuals or groups. It identifies the information and types of interaction to be conducted in each phase of the project, considers and addresses stakeholder’s communication and physical accessibility challenges, and includes any other stakeholder engagement required by the World Bank`s Environmental and Social Framework (ESF) in particular Environmental and Social Standard 10 (ESS 10). </w:t>
      </w:r>
    </w:p>
    <w:p w14:paraId="79B46976" w14:textId="77777777" w:rsidR="009D55DD" w:rsidRPr="007518F8" w:rsidRDefault="009D55DD" w:rsidP="000A41D4">
      <w:pPr>
        <w:ind w:left="-284"/>
        <w:jc w:val="both"/>
        <w:rPr>
          <w:rFonts w:ascii="Times New Roman" w:eastAsia="SymbolMT" w:hAnsi="Times New Roman" w:cs="Times New Roman"/>
          <w:sz w:val="24"/>
          <w:szCs w:val="24"/>
        </w:rPr>
      </w:pPr>
      <w:r w:rsidRPr="007518F8">
        <w:rPr>
          <w:rFonts w:ascii="Times New Roman" w:hAnsi="Times New Roman" w:cs="Times New Roman"/>
          <w:sz w:val="24"/>
          <w:szCs w:val="24"/>
        </w:rPr>
        <w:t xml:space="preserve">At the same time, </w:t>
      </w:r>
      <w:r w:rsidRPr="007518F8">
        <w:rPr>
          <w:rFonts w:ascii="Times New Roman" w:eastAsia="SymbolMT" w:hAnsi="Times New Roman" w:cs="Times New Roman"/>
          <w:sz w:val="24"/>
          <w:szCs w:val="24"/>
        </w:rPr>
        <w:t xml:space="preserve">COVID-19 represents a significant health risk and any stakeholder consultations undertaken at this time need to ensure that they account for any national COVID-19 restrictions. Some suggestions have been provided in this document to continue with the stakeholder engagement process, without risking the good health of the identified stakeholders. </w:t>
      </w:r>
    </w:p>
    <w:p w14:paraId="4E312EF8" w14:textId="4F5756A6" w:rsidR="00067A31" w:rsidRPr="007518F8" w:rsidRDefault="00067A31" w:rsidP="000A41D4">
      <w:pPr>
        <w:ind w:left="-284"/>
        <w:jc w:val="both"/>
        <w:rPr>
          <w:rFonts w:ascii="Times New Roman" w:eastAsia="SymbolMT" w:hAnsi="Times New Roman" w:cs="Times New Roman"/>
          <w:b/>
          <w:sz w:val="24"/>
          <w:szCs w:val="24"/>
        </w:rPr>
      </w:pPr>
      <w:r w:rsidRPr="007518F8">
        <w:rPr>
          <w:rFonts w:ascii="Times New Roman" w:eastAsia="SymbolMT" w:hAnsi="Times New Roman" w:cs="Times New Roman"/>
          <w:b/>
          <w:sz w:val="24"/>
          <w:szCs w:val="24"/>
        </w:rPr>
        <w:t xml:space="preserve">This SEP is a flexible document which could be updated or adjusted due to new circumstances, changes of Project components structure or identification of additional stakeholder groups on the later Project implementation stages. The updated SEP will be disclosed to the public accordingly. </w:t>
      </w:r>
    </w:p>
    <w:p w14:paraId="193EC610" w14:textId="77777777" w:rsidR="009D55DD" w:rsidRPr="007518F8" w:rsidRDefault="009D55DD" w:rsidP="000A41D4">
      <w:pPr>
        <w:ind w:left="-284"/>
        <w:jc w:val="both"/>
        <w:rPr>
          <w:rFonts w:ascii="Times New Roman" w:eastAsia="Times New Roman" w:hAnsi="Times New Roman" w:cs="Times New Roman"/>
          <w:sz w:val="24"/>
          <w:szCs w:val="24"/>
        </w:rPr>
      </w:pPr>
    </w:p>
    <w:p w14:paraId="18410066" w14:textId="5A9908A3" w:rsidR="009A10D7" w:rsidRPr="007518F8" w:rsidRDefault="00842BFC" w:rsidP="000A41D4">
      <w:pPr>
        <w:pStyle w:val="1"/>
        <w:ind w:left="-284"/>
        <w:rPr>
          <w:rFonts w:cs="Times New Roman"/>
          <w:szCs w:val="24"/>
        </w:rPr>
      </w:pPr>
      <w:bookmarkStart w:id="6" w:name="_Toc65760305"/>
      <w:r w:rsidRPr="007518F8">
        <w:rPr>
          <w:rFonts w:cs="Times New Roman"/>
          <w:szCs w:val="24"/>
        </w:rPr>
        <w:lastRenderedPageBreak/>
        <w:t xml:space="preserve">2. </w:t>
      </w:r>
      <w:r w:rsidR="009A10D7" w:rsidRPr="007518F8">
        <w:rPr>
          <w:rFonts w:cs="Times New Roman"/>
          <w:szCs w:val="24"/>
        </w:rPr>
        <w:t>National legislative framework and International Standards</w:t>
      </w:r>
      <w:bookmarkEnd w:id="6"/>
      <w:r w:rsidR="009A10D7" w:rsidRPr="007518F8">
        <w:rPr>
          <w:rFonts w:cs="Times New Roman"/>
          <w:szCs w:val="24"/>
        </w:rPr>
        <w:t xml:space="preserve"> </w:t>
      </w:r>
    </w:p>
    <w:p w14:paraId="10B8FF75" w14:textId="5098BE57" w:rsidR="009A10D7" w:rsidRPr="007518F8" w:rsidRDefault="007518F8" w:rsidP="000A41D4">
      <w:pPr>
        <w:pStyle w:val="1"/>
        <w:ind w:left="-284"/>
        <w:rPr>
          <w:rFonts w:cs="Times New Roman"/>
          <w:szCs w:val="24"/>
        </w:rPr>
      </w:pPr>
      <w:bookmarkStart w:id="7" w:name="_Toc41402605"/>
      <w:bookmarkStart w:id="8" w:name="_Toc65760306"/>
      <w:r w:rsidRPr="007518F8">
        <w:rPr>
          <w:rFonts w:cs="Times New Roman"/>
          <w:szCs w:val="24"/>
        </w:rPr>
        <w:t xml:space="preserve">2.1 </w:t>
      </w:r>
      <w:r w:rsidR="009A10D7" w:rsidRPr="007518F8">
        <w:rPr>
          <w:rFonts w:cs="Times New Roman"/>
          <w:szCs w:val="24"/>
        </w:rPr>
        <w:t>National Legislation and Regulations on Social Protection</w:t>
      </w:r>
      <w:bookmarkEnd w:id="7"/>
      <w:r w:rsidR="009A10D7" w:rsidRPr="007518F8">
        <w:rPr>
          <w:rFonts w:cs="Times New Roman"/>
          <w:szCs w:val="24"/>
        </w:rPr>
        <w:t xml:space="preserve"> and access to the information</w:t>
      </w:r>
      <w:bookmarkEnd w:id="8"/>
    </w:p>
    <w:p w14:paraId="242CDA09" w14:textId="77777777" w:rsidR="009A10D7" w:rsidRPr="007518F8" w:rsidRDefault="009A10D7" w:rsidP="000A41D4">
      <w:pPr>
        <w:pStyle w:val="a4"/>
        <w:ind w:left="-284"/>
        <w:rPr>
          <w:rFonts w:ascii="Times New Roman" w:hAnsi="Times New Roman" w:cs="Times New Roman"/>
          <w:sz w:val="24"/>
          <w:szCs w:val="24"/>
        </w:rPr>
      </w:pPr>
    </w:p>
    <w:p w14:paraId="67B55D64" w14:textId="77777777" w:rsidR="009A10D7" w:rsidRPr="007518F8" w:rsidRDefault="009A10D7" w:rsidP="000A41D4">
      <w:pPr>
        <w:spacing w:line="240" w:lineRule="auto"/>
        <w:ind w:left="-284"/>
        <w:contextualSpacing/>
        <w:jc w:val="both"/>
        <w:rPr>
          <w:rFonts w:ascii="Times New Roman" w:hAnsi="Times New Roman" w:cs="Times New Roman"/>
          <w:b/>
          <w:sz w:val="24"/>
          <w:szCs w:val="24"/>
        </w:rPr>
      </w:pPr>
      <w:r w:rsidRPr="007518F8">
        <w:rPr>
          <w:rFonts w:ascii="Times New Roman" w:hAnsi="Times New Roman" w:cs="Times New Roman"/>
          <w:b/>
          <w:sz w:val="24"/>
          <w:szCs w:val="24"/>
        </w:rPr>
        <w:t>Access to Information Legislation, Guidelines and Practices</w:t>
      </w:r>
    </w:p>
    <w:p w14:paraId="33CCA22A" w14:textId="77777777" w:rsidR="009A10D7" w:rsidRPr="007518F8" w:rsidRDefault="009A10D7" w:rsidP="000A41D4">
      <w:pPr>
        <w:pStyle w:val="Pa0"/>
        <w:ind w:left="-284"/>
        <w:jc w:val="both"/>
        <w:rPr>
          <w:rFonts w:ascii="Times New Roman" w:eastAsia="Times New Roman" w:hAnsi="Times New Roman" w:cs="Times New Roman"/>
        </w:rPr>
      </w:pPr>
      <w:r w:rsidRPr="007518F8">
        <w:rPr>
          <w:rStyle w:val="A00"/>
          <w:rFonts w:ascii="Times New Roman" w:hAnsi="Times New Roman" w:cs="Times New Roman"/>
          <w:color w:val="000000" w:themeColor="text1"/>
          <w:sz w:val="24"/>
          <w:szCs w:val="24"/>
        </w:rPr>
        <w:t xml:space="preserve">Ukrainian citizens’ right to participate in the administration of state affairs and in all local referendums is granted by the Constitution of Ukraine, Articles 38. Article 40 of the Constitution also enables all citizens to file individual or collective petitions, or to personally appeal to bodies of state power, bodies of local self-government, and to the officials and officers of these bodies. </w:t>
      </w:r>
      <w:r w:rsidRPr="007518F8">
        <w:rPr>
          <w:rFonts w:ascii="Times New Roman" w:hAnsi="Times New Roman" w:cs="Times New Roman"/>
        </w:rPr>
        <w:t xml:space="preserve">People’s rights relating to access to information, consultation and engagement is further recognized in three </w:t>
      </w:r>
      <w:r w:rsidRPr="007518F8">
        <w:rPr>
          <w:rFonts w:ascii="Times New Roman" w:eastAsia="Times New Roman" w:hAnsi="Times New Roman" w:cs="Times New Roman"/>
        </w:rPr>
        <w:t>Ukrainian legislative and regulatory acts.</w:t>
      </w:r>
      <w:r w:rsidRPr="007518F8">
        <w:rPr>
          <w:rStyle w:val="a9"/>
          <w:rFonts w:ascii="Times New Roman" w:eastAsia="Times New Roman" w:hAnsi="Times New Roman" w:cs="Times New Roman"/>
        </w:rPr>
        <w:footnoteReference w:id="1"/>
      </w:r>
      <w:r w:rsidRPr="007518F8">
        <w:rPr>
          <w:rFonts w:ascii="Times New Roman" w:eastAsia="Times New Roman" w:hAnsi="Times New Roman" w:cs="Times New Roman"/>
        </w:rPr>
        <w:t xml:space="preserve"> </w:t>
      </w:r>
    </w:p>
    <w:p w14:paraId="4C76011F" w14:textId="77777777" w:rsidR="009A10D7" w:rsidRPr="007518F8" w:rsidRDefault="009A10D7" w:rsidP="000A41D4">
      <w:pPr>
        <w:pStyle w:val="Pa0"/>
        <w:ind w:left="-284"/>
        <w:jc w:val="both"/>
        <w:rPr>
          <w:rFonts w:ascii="Times New Roman" w:eastAsia="Times New Roman" w:hAnsi="Times New Roman" w:cs="Times New Roman"/>
        </w:rPr>
      </w:pPr>
    </w:p>
    <w:p w14:paraId="6615D043" w14:textId="77777777" w:rsidR="009A10D7" w:rsidRPr="007518F8" w:rsidRDefault="009A10D7" w:rsidP="000A41D4">
      <w:pPr>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The first constitutes the </w:t>
      </w:r>
      <w:r w:rsidRPr="007518F8">
        <w:rPr>
          <w:rFonts w:ascii="Times New Roman" w:eastAsia="Times New Roman" w:hAnsi="Times New Roman" w:cs="Times New Roman"/>
          <w:i/>
          <w:sz w:val="24"/>
          <w:szCs w:val="24"/>
        </w:rPr>
        <w:t>Law of Ukraine on Access to Public Information (2011),</w:t>
      </w:r>
      <w:r w:rsidRPr="007518F8">
        <w:rPr>
          <w:rFonts w:ascii="Times New Roman" w:eastAsia="Times New Roman" w:hAnsi="Times New Roman" w:cs="Times New Roman"/>
          <w:sz w:val="24"/>
          <w:szCs w:val="24"/>
        </w:rPr>
        <w:t xml:space="preserve"> the second, </w:t>
      </w:r>
      <w:r w:rsidRPr="007518F8">
        <w:rPr>
          <w:rFonts w:ascii="Times New Roman" w:eastAsia="Times New Roman" w:hAnsi="Times New Roman" w:cs="Times New Roman"/>
          <w:i/>
          <w:sz w:val="24"/>
          <w:szCs w:val="24"/>
        </w:rPr>
        <w:t xml:space="preserve">Law on Appeals </w:t>
      </w:r>
      <w:r w:rsidRPr="007518F8">
        <w:rPr>
          <w:rFonts w:ascii="Times New Roman" w:eastAsia="Times New Roman" w:hAnsi="Times New Roman" w:cs="Times New Roman"/>
          <w:bCs/>
          <w:i/>
          <w:color w:val="000000"/>
          <w:sz w:val="24"/>
          <w:szCs w:val="24"/>
          <w:shd w:val="clear" w:color="auto" w:fill="FFFFFF"/>
        </w:rPr>
        <w:t xml:space="preserve">№ 47 </w:t>
      </w:r>
      <w:r w:rsidRPr="007518F8">
        <w:rPr>
          <w:rFonts w:ascii="Times New Roman" w:eastAsia="Times New Roman" w:hAnsi="Times New Roman" w:cs="Times New Roman"/>
          <w:i/>
          <w:sz w:val="24"/>
          <w:szCs w:val="24"/>
        </w:rPr>
        <w:t xml:space="preserve">(1996) </w:t>
      </w:r>
      <w:r w:rsidRPr="007518F8">
        <w:rPr>
          <w:rFonts w:ascii="Times New Roman" w:eastAsia="Times New Roman" w:hAnsi="Times New Roman" w:cs="Times New Roman"/>
          <w:sz w:val="24"/>
          <w:szCs w:val="24"/>
        </w:rPr>
        <w:t xml:space="preserve">and the third is vested in the </w:t>
      </w:r>
      <w:r w:rsidRPr="007518F8">
        <w:rPr>
          <w:rFonts w:ascii="Times New Roman" w:eastAsia="Times New Roman" w:hAnsi="Times New Roman" w:cs="Times New Roman"/>
          <w:i/>
          <w:sz w:val="24"/>
          <w:szCs w:val="24"/>
        </w:rPr>
        <w:t>Decree of the Cabinet of Ministers of Ukraine (November 3, 2010) No. 996 “Order of the public consultations on the issues of development and implementation of the state policy”</w:t>
      </w:r>
      <w:r w:rsidRPr="007518F8">
        <w:rPr>
          <w:rStyle w:val="a9"/>
          <w:rFonts w:ascii="Times New Roman" w:eastAsia="Times New Roman" w:hAnsi="Times New Roman" w:cs="Times New Roman"/>
          <w:i/>
          <w:sz w:val="24"/>
          <w:szCs w:val="24"/>
        </w:rPr>
        <w:footnoteReference w:id="2"/>
      </w:r>
      <w:r w:rsidRPr="007518F8">
        <w:rPr>
          <w:rFonts w:ascii="Times New Roman" w:eastAsia="Times New Roman" w:hAnsi="Times New Roman" w:cs="Times New Roman"/>
          <w:sz w:val="24"/>
          <w:szCs w:val="24"/>
        </w:rPr>
        <w:t xml:space="preserve">. The </w:t>
      </w:r>
      <w:r w:rsidRPr="007518F8">
        <w:rPr>
          <w:rFonts w:ascii="Times New Roman" w:eastAsia="Times New Roman" w:hAnsi="Times New Roman" w:cs="Times New Roman"/>
          <w:i/>
          <w:sz w:val="24"/>
          <w:szCs w:val="24"/>
        </w:rPr>
        <w:t>Law on the Access to Public Information (2011),</w:t>
      </w:r>
      <w:r w:rsidRPr="007518F8">
        <w:rPr>
          <w:rFonts w:ascii="Times New Roman" w:eastAsia="Times New Roman" w:hAnsi="Times New Roman" w:cs="Times New Roman"/>
          <w:sz w:val="24"/>
          <w:szCs w:val="24"/>
        </w:rPr>
        <w:t xml:space="preserve"> determines procedures for exercising and securing the right of every person’s access to information of public interest possessed by government agencies and other providers of public information as identified by this Law.  In Article 3 the law also stipulates guarantees of observance where providers’ obligation to: </w:t>
      </w:r>
    </w:p>
    <w:p w14:paraId="6DE3778C" w14:textId="77777777" w:rsidR="009A10D7" w:rsidRPr="007518F8" w:rsidRDefault="009A10D7" w:rsidP="000A41D4">
      <w:pPr>
        <w:ind w:left="-284"/>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1)   provide and disclose information; </w:t>
      </w:r>
    </w:p>
    <w:p w14:paraId="4A6E3490" w14:textId="77777777" w:rsidR="009A10D7" w:rsidRPr="007518F8" w:rsidRDefault="009A10D7" w:rsidP="000A41D4">
      <w:pPr>
        <w:ind w:left="-284"/>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2)  to establish special information services and/or systems within information providing entities to secure access to public information in accordance with the established procedures; </w:t>
      </w:r>
    </w:p>
    <w:p w14:paraId="00E35826" w14:textId="77777777" w:rsidR="009A10D7" w:rsidRPr="007518F8" w:rsidRDefault="009A10D7" w:rsidP="000A41D4">
      <w:pPr>
        <w:ind w:left="-284"/>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3)  to simplify procedures for submission of requests and receipt of information; </w:t>
      </w:r>
    </w:p>
    <w:p w14:paraId="2CB9697F" w14:textId="77777777" w:rsidR="009A10D7" w:rsidRPr="007518F8" w:rsidRDefault="009A10D7" w:rsidP="000A41D4">
      <w:pPr>
        <w:ind w:left="-284"/>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4)  free access to open sessions of government agencies; </w:t>
      </w:r>
    </w:p>
    <w:p w14:paraId="6010EFBF" w14:textId="77777777" w:rsidR="009A10D7" w:rsidRPr="007518F8" w:rsidRDefault="009A10D7" w:rsidP="000A41D4">
      <w:pPr>
        <w:ind w:left="-284"/>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5) parliamentary, civil, and state control over observance of the right to access to public information and information access modes; </w:t>
      </w:r>
    </w:p>
    <w:p w14:paraId="04CA6A17" w14:textId="77777777" w:rsidR="009A10D7" w:rsidRPr="007518F8" w:rsidRDefault="009A10D7" w:rsidP="000A41D4">
      <w:pPr>
        <w:ind w:left="-284"/>
        <w:contextualSpacing/>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6) legal responsibility for violation of the legislation on access to public information. </w:t>
      </w:r>
    </w:p>
    <w:p w14:paraId="64549B2B" w14:textId="77777777" w:rsidR="009A10D7" w:rsidRPr="007518F8" w:rsidRDefault="009A10D7" w:rsidP="000A41D4">
      <w:pPr>
        <w:ind w:left="-284"/>
        <w:contextualSpacing/>
        <w:jc w:val="both"/>
        <w:rPr>
          <w:rFonts w:ascii="Times New Roman" w:eastAsia="Times New Roman" w:hAnsi="Times New Roman" w:cs="Times New Roman"/>
          <w:sz w:val="24"/>
          <w:szCs w:val="24"/>
        </w:rPr>
      </w:pPr>
    </w:p>
    <w:p w14:paraId="1CD19DE9" w14:textId="77777777" w:rsidR="009A10D7" w:rsidRPr="007518F8" w:rsidRDefault="009A10D7" w:rsidP="000A41D4">
      <w:pPr>
        <w:spacing w:line="240" w:lineRule="auto"/>
        <w:ind w:left="-284"/>
        <w:contextualSpacing/>
        <w:jc w:val="both"/>
        <w:rPr>
          <w:rFonts w:ascii="Times New Roman" w:hAnsi="Times New Roman" w:cs="Times New Roman"/>
          <w:b/>
          <w:sz w:val="24"/>
          <w:szCs w:val="24"/>
        </w:rPr>
      </w:pPr>
      <w:r w:rsidRPr="007518F8">
        <w:rPr>
          <w:rFonts w:ascii="Times New Roman" w:hAnsi="Times New Roman" w:cs="Times New Roman"/>
          <w:b/>
          <w:sz w:val="24"/>
          <w:szCs w:val="24"/>
        </w:rPr>
        <w:t>Ukrainian Citizen Engagement Legislation</w:t>
      </w:r>
    </w:p>
    <w:p w14:paraId="30A3AC97" w14:textId="77777777" w:rsidR="009A10D7" w:rsidRPr="007518F8" w:rsidRDefault="009A10D7" w:rsidP="000A41D4">
      <w:pPr>
        <w:spacing w:line="240" w:lineRule="auto"/>
        <w:ind w:left="-284"/>
        <w:contextualSpacing/>
        <w:jc w:val="both"/>
        <w:rPr>
          <w:rFonts w:ascii="Times New Roman" w:hAnsi="Times New Roman" w:cs="Times New Roman"/>
          <w:sz w:val="24"/>
          <w:szCs w:val="24"/>
        </w:rPr>
      </w:pPr>
    </w:p>
    <w:p w14:paraId="1220F87F" w14:textId="77777777" w:rsidR="009A10D7" w:rsidRPr="007518F8" w:rsidRDefault="009A10D7" w:rsidP="000A41D4">
      <w:pPr>
        <w:spacing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procedures for public for public consultation are described in </w:t>
      </w:r>
      <w:r w:rsidR="009D55DD" w:rsidRPr="007518F8">
        <w:rPr>
          <w:rFonts w:ascii="Times New Roman" w:hAnsi="Times New Roman" w:cs="Times New Roman"/>
          <w:sz w:val="24"/>
          <w:szCs w:val="24"/>
        </w:rPr>
        <w:t>Decree of the Ministry of Environmental Protection of Ukraine "On Approval of the Regulation on Public Participation in Decision Making on Environmental Protection Issues” #168 of December 12, 2003</w:t>
      </w:r>
      <w:r w:rsidRPr="007518F8">
        <w:rPr>
          <w:rFonts w:ascii="Times New Roman" w:hAnsi="Times New Roman" w:cs="Times New Roman"/>
          <w:sz w:val="24"/>
          <w:szCs w:val="24"/>
        </w:rPr>
        <w:t xml:space="preserve"> which specifies the form and methods for public consultations and distinguishes between direct consultations, such as conferences, meetings, seminars, web conferences, and indirect forms, such as public surveys. </w:t>
      </w:r>
    </w:p>
    <w:p w14:paraId="15E9D93C" w14:textId="77777777" w:rsidR="009A10D7" w:rsidRPr="007518F8" w:rsidRDefault="009A10D7" w:rsidP="000A41D4">
      <w:pPr>
        <w:spacing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Ukraine was taking steps to make public consultations a legally-binding procedure through the proposed draft Law ‘On public consultations. The law was assessed by and positive reviews from the OSCE, but it is not clear at this point whether the law was adopted and/or at what phase in the legislative process it is.</w:t>
      </w:r>
    </w:p>
    <w:p w14:paraId="473F9602" w14:textId="77777777" w:rsidR="009A10D7" w:rsidRPr="007518F8" w:rsidRDefault="009A10D7" w:rsidP="000A41D4">
      <w:pPr>
        <w:spacing w:line="240" w:lineRule="auto"/>
        <w:ind w:left="-284"/>
        <w:contextualSpacing/>
        <w:jc w:val="both"/>
        <w:rPr>
          <w:rFonts w:ascii="Times New Roman" w:hAnsi="Times New Roman" w:cs="Times New Roman"/>
          <w:b/>
          <w:sz w:val="24"/>
          <w:szCs w:val="24"/>
        </w:rPr>
      </w:pPr>
      <w:r w:rsidRPr="007518F8">
        <w:rPr>
          <w:rFonts w:ascii="Times New Roman" w:hAnsi="Times New Roman" w:cs="Times New Roman"/>
          <w:b/>
          <w:sz w:val="24"/>
          <w:szCs w:val="24"/>
        </w:rPr>
        <w:t xml:space="preserve">Ukrainian GRM addressing legislation </w:t>
      </w:r>
    </w:p>
    <w:p w14:paraId="6D6AA1F1" w14:textId="77777777" w:rsidR="009A10D7" w:rsidRPr="007518F8" w:rsidRDefault="009A10D7" w:rsidP="000A41D4">
      <w:pPr>
        <w:spacing w:line="240" w:lineRule="auto"/>
        <w:ind w:left="-284"/>
        <w:contextualSpacing/>
        <w:jc w:val="both"/>
        <w:rPr>
          <w:rFonts w:ascii="Times New Roman" w:hAnsi="Times New Roman" w:cs="Times New Roman"/>
          <w:b/>
          <w:sz w:val="24"/>
          <w:szCs w:val="24"/>
        </w:rPr>
      </w:pPr>
    </w:p>
    <w:p w14:paraId="2ED384E0" w14:textId="77777777" w:rsidR="009A10D7" w:rsidRPr="007518F8" w:rsidRDefault="009A10D7" w:rsidP="000A41D4">
      <w:pPr>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lastRenderedPageBreak/>
        <w:t xml:space="preserve">The Law on Appeals </w:t>
      </w:r>
      <w:r w:rsidRPr="007518F8">
        <w:rPr>
          <w:rFonts w:ascii="Times New Roman" w:eastAsia="Times New Roman" w:hAnsi="Times New Roman" w:cs="Times New Roman"/>
          <w:bCs/>
          <w:color w:val="000000"/>
          <w:sz w:val="24"/>
          <w:szCs w:val="24"/>
          <w:shd w:val="clear" w:color="auto" w:fill="FFFFFF"/>
        </w:rPr>
        <w:t xml:space="preserve">№ 47 </w:t>
      </w:r>
      <w:r w:rsidRPr="007518F8">
        <w:rPr>
          <w:rFonts w:ascii="Times New Roman" w:eastAsia="Times New Roman" w:hAnsi="Times New Roman" w:cs="Times New Roman"/>
          <w:sz w:val="24"/>
          <w:szCs w:val="24"/>
        </w:rPr>
        <w:t xml:space="preserve">(1996) further grants Ukrainian citizens the right </w:t>
      </w:r>
      <w:r w:rsidRPr="007518F8">
        <w:rPr>
          <w:rFonts w:ascii="Times New Roman" w:eastAsia="Times New Roman" w:hAnsi="Times New Roman" w:cs="Times New Roman"/>
          <w:color w:val="000000"/>
          <w:sz w:val="24"/>
          <w:szCs w:val="24"/>
          <w:shd w:val="clear" w:color="auto" w:fill="FFFFFF"/>
        </w:rPr>
        <w:t xml:space="preserve">“to apply to state bodies, local self-government, associations of citizens, enterprises, institutions, organizations regardless of ownership, mass media, officials according to their functional responsibilities with comments, complaints and proposals concerning their statutory activities, a statement or petition for the exercise of their socio-economic, political and personal rights and legitimate interests, and a complaint about their violation.” The Law of Appeals was reinforced in 2015 by the citizens’ right to file electronic petitions on corresponding portals instituted for this purpose by the </w:t>
      </w:r>
      <w:r w:rsidRPr="007518F8">
        <w:rPr>
          <w:rFonts w:ascii="Times New Roman" w:eastAsia="Times New Roman" w:hAnsi="Times New Roman" w:cs="Times New Roman"/>
          <w:sz w:val="24"/>
          <w:szCs w:val="24"/>
        </w:rPr>
        <w:t xml:space="preserve">President Administration, Parliament, the Government (“central authorities”), and hundreds of local bodies of self-government (“local authorities”).  The last, third decree of the Cabinet of Ministers of Ukraine ensures that the public is consulted on the issues of development and implementation of state policies. </w:t>
      </w:r>
    </w:p>
    <w:p w14:paraId="039D55A1" w14:textId="77777777" w:rsidR="009A10D7" w:rsidRPr="007518F8" w:rsidRDefault="009D55DD" w:rsidP="000A41D4">
      <w:pPr>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All these</w:t>
      </w:r>
      <w:r w:rsidR="009A10D7" w:rsidRPr="007518F8">
        <w:rPr>
          <w:rFonts w:ascii="Times New Roman" w:eastAsia="Times New Roman" w:hAnsi="Times New Roman" w:cs="Times New Roman"/>
          <w:sz w:val="24"/>
          <w:szCs w:val="24"/>
        </w:rPr>
        <w:t xml:space="preserve"> regulatory acts and the Constitution of Ukraine will serve as the base reference for informing the stakeholder engagement plan and its activities throughout the project’s implementation.</w:t>
      </w:r>
    </w:p>
    <w:p w14:paraId="45EAA335" w14:textId="77777777" w:rsidR="009D55DD" w:rsidRPr="007518F8" w:rsidRDefault="009D55DD" w:rsidP="000A41D4">
      <w:pPr>
        <w:ind w:left="-284"/>
        <w:jc w:val="both"/>
        <w:rPr>
          <w:rFonts w:ascii="Times New Roman" w:eastAsia="Times New Roman" w:hAnsi="Times New Roman" w:cs="Times New Roman"/>
          <w:sz w:val="24"/>
          <w:szCs w:val="24"/>
        </w:rPr>
      </w:pPr>
    </w:p>
    <w:p w14:paraId="5583F80D" w14:textId="0ECAF91C" w:rsidR="009D55DD" w:rsidRPr="007518F8" w:rsidRDefault="009D55DD" w:rsidP="000A41D4">
      <w:pPr>
        <w:pStyle w:val="1"/>
        <w:ind w:left="-284"/>
        <w:rPr>
          <w:rFonts w:cs="Times New Roman"/>
          <w:szCs w:val="24"/>
        </w:rPr>
      </w:pPr>
      <w:bookmarkStart w:id="9" w:name="_Toc41402606"/>
      <w:r w:rsidRPr="007518F8">
        <w:rPr>
          <w:rFonts w:cs="Times New Roman"/>
          <w:szCs w:val="24"/>
        </w:rPr>
        <w:t xml:space="preserve"> </w:t>
      </w:r>
      <w:bookmarkStart w:id="10" w:name="_Toc65760307"/>
      <w:r w:rsidR="007518F8" w:rsidRPr="007518F8">
        <w:rPr>
          <w:rFonts w:cs="Times New Roman"/>
          <w:szCs w:val="24"/>
        </w:rPr>
        <w:t xml:space="preserve">2.2 </w:t>
      </w:r>
      <w:r w:rsidRPr="007518F8">
        <w:rPr>
          <w:rFonts w:cs="Times New Roman"/>
          <w:szCs w:val="24"/>
        </w:rPr>
        <w:t>World Bank Environmental and Social Standards on Stakeholder Engagement</w:t>
      </w:r>
      <w:bookmarkEnd w:id="9"/>
      <w:bookmarkEnd w:id="10"/>
    </w:p>
    <w:p w14:paraId="42CFF5B8" w14:textId="77777777" w:rsidR="009D55DD" w:rsidRPr="007518F8" w:rsidRDefault="009D55DD" w:rsidP="000A41D4">
      <w:pPr>
        <w:ind w:left="-284"/>
        <w:rPr>
          <w:rFonts w:ascii="Times New Roman" w:hAnsi="Times New Roman" w:cs="Times New Roman"/>
          <w:sz w:val="24"/>
          <w:szCs w:val="24"/>
        </w:rPr>
      </w:pPr>
    </w:p>
    <w:p w14:paraId="3F127C5E" w14:textId="77777777" w:rsidR="009D55DD" w:rsidRPr="007518F8" w:rsidRDefault="009D55DD" w:rsidP="000A41D4">
      <w:pPr>
        <w:ind w:left="-284"/>
        <w:jc w:val="both"/>
        <w:rPr>
          <w:rFonts w:ascii="Times New Roman" w:hAnsi="Times New Roman" w:cs="Times New Roman"/>
          <w:sz w:val="24"/>
          <w:szCs w:val="24"/>
        </w:rPr>
      </w:pPr>
      <w:r w:rsidRPr="007518F8">
        <w:rPr>
          <w:rFonts w:ascii="Times New Roman" w:hAnsi="Times New Roman" w:cs="Times New Roman"/>
          <w:sz w:val="24"/>
          <w:szCs w:val="24"/>
          <w:shd w:val="clear" w:color="auto" w:fill="FFFFFF" w:themeFill="background1"/>
        </w:rPr>
        <w:t xml:space="preserve">The </w:t>
      </w:r>
      <w:r w:rsidR="00393EB6" w:rsidRPr="007518F8">
        <w:rPr>
          <w:rFonts w:ascii="Times New Roman" w:hAnsi="Times New Roman" w:cs="Times New Roman"/>
          <w:sz w:val="24"/>
          <w:szCs w:val="24"/>
          <w:shd w:val="clear" w:color="auto" w:fill="FFFFFF" w:themeFill="background1"/>
        </w:rPr>
        <w:t>Project</w:t>
      </w:r>
      <w:r w:rsidRPr="007518F8">
        <w:rPr>
          <w:rFonts w:ascii="Times New Roman" w:hAnsi="Times New Roman" w:cs="Times New Roman"/>
          <w:sz w:val="24"/>
          <w:szCs w:val="24"/>
        </w:rPr>
        <w:t xml:space="preserve"> is financed through the World Bank’s proceeds, and as such it will apply World Bank’s Environmental and Social Framework (ESF 2018) and its 10 Environmental and Social Standards (ESS)  to ensure the execution of due diligence on the application of safeguards within the project. Specifically, this SEP is prepared following Environmental and Social Standard 10 on Stakeholder Engagement and Information Disclosure,  which recognizes “the importance of open and transparent engagement between the Borrower and project stakeholders as an essential element of good international practice”. ESS10 emphasizes that effective stakeholder engagement can significantly improve the environmental and social sustainability of projects, enhance project acceptance, and make a significant contribution to successful project design and implementation.</w:t>
      </w:r>
    </w:p>
    <w:p w14:paraId="433A0AE6" w14:textId="77777777" w:rsidR="009D55DD" w:rsidRPr="007518F8" w:rsidRDefault="009D55DD"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As defined by the 2018 ESF and ESS10, stakeholder engagement is an inclusive process conducted throughout the project life cycle. Where properly designed and implemented, it supports the development of strong, constructive and responsive relationships that are important for successful management of a project’s environmental and social risks. Key elements of ESS10 include: </w:t>
      </w:r>
    </w:p>
    <w:p w14:paraId="24C0F0D9" w14:textId="77777777" w:rsidR="009D55DD" w:rsidRPr="007518F8" w:rsidRDefault="009D55DD" w:rsidP="000A41D4">
      <w:pPr>
        <w:pStyle w:val="a4"/>
        <w:ind w:left="-284"/>
        <w:jc w:val="both"/>
        <w:rPr>
          <w:rFonts w:ascii="Times New Roman" w:hAnsi="Times New Roman" w:cs="Times New Roman"/>
          <w:sz w:val="24"/>
          <w:szCs w:val="24"/>
        </w:rPr>
      </w:pPr>
      <w:r w:rsidRPr="007518F8">
        <w:rPr>
          <w:rFonts w:ascii="Times New Roman" w:hAnsi="Times New Roman" w:cs="Times New Roman"/>
          <w:sz w:val="24"/>
          <w:szCs w:val="24"/>
        </w:rPr>
        <w:t>• “Stakeholder engagement is most effective when initiated at an early stage of the project development process, and is an integral part of early project decisions and the assessment, management and monitoring of the project.”</w:t>
      </w:r>
    </w:p>
    <w:p w14:paraId="18E47FC3" w14:textId="77777777" w:rsidR="009D55DD" w:rsidRPr="007518F8" w:rsidRDefault="009D55DD" w:rsidP="000A41D4">
      <w:pPr>
        <w:pStyle w:val="a4"/>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 “Borrowers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 </w:t>
      </w:r>
    </w:p>
    <w:p w14:paraId="110627E5" w14:textId="77777777" w:rsidR="009D55DD" w:rsidRPr="007518F8" w:rsidRDefault="009D55DD" w:rsidP="000A41D4">
      <w:pPr>
        <w:pStyle w:val="a4"/>
        <w:ind w:left="-284"/>
        <w:jc w:val="both"/>
        <w:rPr>
          <w:rFonts w:ascii="Times New Roman" w:hAnsi="Times New Roman" w:cs="Times New Roman"/>
          <w:sz w:val="24"/>
          <w:szCs w:val="24"/>
        </w:rPr>
      </w:pPr>
      <w:r w:rsidRPr="007518F8">
        <w:rPr>
          <w:rFonts w:ascii="Times New Roman" w:hAnsi="Times New Roman" w:cs="Times New Roman"/>
          <w:sz w:val="24"/>
          <w:szCs w:val="24"/>
        </w:rPr>
        <w:t>• 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14:paraId="34353DAE" w14:textId="77777777" w:rsidR="009D55DD" w:rsidRPr="007518F8" w:rsidRDefault="009D55DD" w:rsidP="000A41D4">
      <w:pPr>
        <w:pStyle w:val="a4"/>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 • 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 </w:t>
      </w:r>
    </w:p>
    <w:p w14:paraId="0CCC92B1" w14:textId="18C85535" w:rsidR="008901BA" w:rsidRPr="007518F8" w:rsidRDefault="009D55DD" w:rsidP="000A41D4">
      <w:pPr>
        <w:pStyle w:val="a4"/>
        <w:ind w:left="-284"/>
        <w:jc w:val="both"/>
        <w:rPr>
          <w:rFonts w:ascii="Times New Roman" w:hAnsi="Times New Roman" w:cs="Times New Roman"/>
          <w:sz w:val="24"/>
          <w:szCs w:val="24"/>
        </w:rPr>
      </w:pPr>
      <w:r w:rsidRPr="007518F8">
        <w:rPr>
          <w:rFonts w:ascii="Times New Roman" w:hAnsi="Times New Roman" w:cs="Times New Roman"/>
          <w:sz w:val="24"/>
          <w:szCs w:val="24"/>
        </w:rPr>
        <w:lastRenderedPageBreak/>
        <w:t xml:space="preserve">• The Borrower will maintain and disclose as part of the environmental and social assessment, a documented record of stakeholder engagement, including a description of the stakeholders consulted, a summary of the feedback received and a brief explanation of how the feedback was taken into account, </w:t>
      </w:r>
      <w:r w:rsidR="007518F8" w:rsidRPr="007518F8">
        <w:rPr>
          <w:rFonts w:ascii="Times New Roman" w:hAnsi="Times New Roman" w:cs="Times New Roman"/>
          <w:sz w:val="24"/>
          <w:szCs w:val="24"/>
        </w:rPr>
        <w:t>or the reasons why it was not.”</w:t>
      </w:r>
    </w:p>
    <w:p w14:paraId="1F2457DC" w14:textId="1BC3510F" w:rsidR="008901BA" w:rsidRPr="007518F8" w:rsidRDefault="007518F8" w:rsidP="000A41D4">
      <w:pPr>
        <w:pStyle w:val="1"/>
        <w:ind w:left="-284"/>
        <w:rPr>
          <w:rFonts w:cs="Times New Roman"/>
          <w:szCs w:val="24"/>
        </w:rPr>
      </w:pPr>
      <w:bookmarkStart w:id="11" w:name="_Toc65760308"/>
      <w:r w:rsidRPr="007518F8">
        <w:rPr>
          <w:rFonts w:cs="Times New Roman"/>
          <w:szCs w:val="24"/>
        </w:rPr>
        <w:t xml:space="preserve">3. </w:t>
      </w:r>
      <w:r w:rsidR="008901BA" w:rsidRPr="007518F8">
        <w:rPr>
          <w:rFonts w:cs="Times New Roman"/>
          <w:szCs w:val="24"/>
        </w:rPr>
        <w:t>Stakeholder identification and analysis</w:t>
      </w:r>
      <w:bookmarkEnd w:id="11"/>
    </w:p>
    <w:p w14:paraId="504B584E" w14:textId="77777777" w:rsidR="008901BA" w:rsidRPr="007518F8" w:rsidRDefault="008901BA" w:rsidP="000A41D4">
      <w:pPr>
        <w:ind w:left="-284"/>
        <w:rPr>
          <w:rFonts w:ascii="Times New Roman" w:hAnsi="Times New Roman" w:cs="Times New Roman"/>
          <w:sz w:val="24"/>
          <w:szCs w:val="24"/>
        </w:rPr>
      </w:pPr>
    </w:p>
    <w:p w14:paraId="758789D1" w14:textId="77777777" w:rsidR="008901BA" w:rsidRPr="007518F8" w:rsidRDefault="008901BA" w:rsidP="000A41D4">
      <w:pPr>
        <w:ind w:left="-284"/>
        <w:rPr>
          <w:rFonts w:ascii="Times New Roman" w:hAnsi="Times New Roman" w:cs="Times New Roman"/>
          <w:sz w:val="24"/>
          <w:szCs w:val="24"/>
        </w:rPr>
      </w:pPr>
      <w:r w:rsidRPr="007518F8">
        <w:rPr>
          <w:rFonts w:ascii="Times New Roman" w:hAnsi="Times New Roman" w:cs="Times New Roman"/>
          <w:sz w:val="24"/>
          <w:szCs w:val="24"/>
        </w:rPr>
        <w:t xml:space="preserve">Project stakeholders are defined as individuals, groups or other entities who: </w:t>
      </w:r>
    </w:p>
    <w:p w14:paraId="6BBEFCD3" w14:textId="77777777" w:rsidR="008901BA" w:rsidRPr="007518F8" w:rsidRDefault="008901BA" w:rsidP="00EF1D2F">
      <w:pPr>
        <w:pStyle w:val="a4"/>
        <w:numPr>
          <w:ilvl w:val="0"/>
          <w:numId w:val="1"/>
        </w:numPr>
        <w:ind w:left="-284" w:firstLine="0"/>
        <w:rPr>
          <w:rFonts w:ascii="Times New Roman" w:hAnsi="Times New Roman" w:cs="Times New Roman"/>
          <w:sz w:val="24"/>
          <w:szCs w:val="24"/>
        </w:rPr>
      </w:pPr>
      <w:r w:rsidRPr="007518F8">
        <w:rPr>
          <w:rFonts w:ascii="Times New Roman" w:hAnsi="Times New Roman" w:cs="Times New Roman"/>
          <w:sz w:val="24"/>
          <w:szCs w:val="24"/>
        </w:rPr>
        <w:t xml:space="preserve">are impacted or likely to be impacted directly or indirectly, positively or adversely, by the Project (also known as ‘affected parties’); and </w:t>
      </w:r>
    </w:p>
    <w:p w14:paraId="18F62C0E" w14:textId="77777777" w:rsidR="0049522A" w:rsidRPr="007518F8" w:rsidRDefault="008901BA" w:rsidP="00EF1D2F">
      <w:pPr>
        <w:pStyle w:val="a4"/>
        <w:numPr>
          <w:ilvl w:val="0"/>
          <w:numId w:val="1"/>
        </w:numPr>
        <w:ind w:left="-284" w:firstLine="0"/>
        <w:rPr>
          <w:rFonts w:ascii="Times New Roman" w:hAnsi="Times New Roman" w:cs="Times New Roman"/>
          <w:sz w:val="24"/>
          <w:szCs w:val="24"/>
        </w:rPr>
      </w:pPr>
      <w:r w:rsidRPr="007518F8">
        <w:rPr>
          <w:rFonts w:ascii="Times New Roman" w:hAnsi="Times New Roman" w:cs="Times New Roman"/>
          <w:sz w:val="24"/>
          <w:szCs w:val="24"/>
        </w:rPr>
        <w:t>may have an interest in the Project (‘interested parties’). They include individuals or groups whose interests may be affected by the Project and who have the potential to influence the Project outcomes in any way</w:t>
      </w:r>
    </w:p>
    <w:p w14:paraId="3704E33D"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Cooperation and negotiation with the stakeholders throughout the Project development often also require the identification of stakeholder`s groups interests in the process of engagement with the Project. </w:t>
      </w:r>
      <w:r w:rsidR="00AB03C1" w:rsidRPr="007518F8">
        <w:rPr>
          <w:rFonts w:ascii="Times New Roman" w:hAnsi="Times New Roman" w:cs="Times New Roman"/>
          <w:sz w:val="24"/>
          <w:szCs w:val="24"/>
          <w:lang w:val="uk-UA"/>
        </w:rPr>
        <w:t>S</w:t>
      </w:r>
      <w:r w:rsidR="00842C28" w:rsidRPr="007518F8">
        <w:rPr>
          <w:rFonts w:ascii="Times New Roman" w:hAnsi="Times New Roman" w:cs="Times New Roman"/>
          <w:sz w:val="24"/>
          <w:szCs w:val="24"/>
        </w:rPr>
        <w:t>takeholders</w:t>
      </w:r>
      <w:r w:rsidRPr="007518F8">
        <w:rPr>
          <w:rFonts w:ascii="Times New Roman" w:hAnsi="Times New Roman" w:cs="Times New Roman"/>
          <w:sz w:val="24"/>
          <w:szCs w:val="24"/>
        </w:rPr>
        <w:t xml:space="preserve"> may provide helpful insight into the local settings and act as main conduits for dissemination of the Project-related information and as a primary communication/liaison link between the Project and targeted </w:t>
      </w:r>
      <w:r w:rsidR="00AB03C1" w:rsidRPr="007518F8">
        <w:rPr>
          <w:rFonts w:ascii="Times New Roman" w:hAnsi="Times New Roman" w:cs="Times New Roman"/>
          <w:sz w:val="24"/>
          <w:szCs w:val="24"/>
        </w:rPr>
        <w:t>groups</w:t>
      </w:r>
      <w:r w:rsidRPr="007518F8">
        <w:rPr>
          <w:rFonts w:ascii="Times New Roman" w:hAnsi="Times New Roman" w:cs="Times New Roman"/>
          <w:sz w:val="24"/>
          <w:szCs w:val="24"/>
        </w:rPr>
        <w:t xml:space="preserve"> and their established networks.</w:t>
      </w:r>
    </w:p>
    <w:p w14:paraId="518E5FF2"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For the purposes of effective and tailored engagement, stakeholders of the proposed project(s) can be divided into the following core categories:</w:t>
      </w:r>
    </w:p>
    <w:p w14:paraId="5E039703"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(i) Affected Parties – persons, groups and other entities within the Project Area of Influence that are</w:t>
      </w:r>
    </w:p>
    <w:p w14:paraId="4AC52E99"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directly influenced (actually or potentially) by the project and/or have been identified as most</w:t>
      </w:r>
    </w:p>
    <w:p w14:paraId="09997BA0"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susceptible to change associated with the project, and who need to be closely engaged in identifying</w:t>
      </w:r>
    </w:p>
    <w:p w14:paraId="60286D02"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impacts and their significance, as well as in decision-making on mitigation and management</w:t>
      </w:r>
    </w:p>
    <w:p w14:paraId="09EAD54C"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measures;</w:t>
      </w:r>
    </w:p>
    <w:p w14:paraId="110589D9"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(ii) Other Interested Parties – individuals/groups/entities that may not experience direct impacts from the Project but who consider or perceive their interests as being affected by the project and/or who could affect the project and the process of its implementation in some way; and</w:t>
      </w:r>
    </w:p>
    <w:p w14:paraId="1C85F704" w14:textId="77777777" w:rsidR="00393EB6" w:rsidRPr="007518F8" w:rsidRDefault="00393EB6"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(iii) Vulnerable Groups – persons who may be disproportionately impacted or further disadvantaged by the project(s) as compared with any other groups due to their vulnerable status, and that may require special engagement efforts to ensure their equal representation in the consultation and decision-making process associated with the project.</w:t>
      </w:r>
    </w:p>
    <w:p w14:paraId="5A621C3C" w14:textId="77777777" w:rsidR="00842C28" w:rsidRPr="007518F8" w:rsidRDefault="00842C28" w:rsidP="000A41D4">
      <w:pPr>
        <w:autoSpaceDE w:val="0"/>
        <w:autoSpaceDN w:val="0"/>
        <w:adjustRightInd w:val="0"/>
        <w:spacing w:after="0" w:line="240" w:lineRule="auto"/>
        <w:ind w:left="-284"/>
        <w:jc w:val="both"/>
        <w:rPr>
          <w:rFonts w:ascii="Times New Roman" w:hAnsi="Times New Roman" w:cs="Times New Roman"/>
          <w:sz w:val="24"/>
          <w:szCs w:val="24"/>
        </w:rPr>
      </w:pPr>
    </w:p>
    <w:p w14:paraId="00E20417" w14:textId="4B9E6AFD" w:rsidR="00842C28" w:rsidRPr="007518F8" w:rsidRDefault="007518F8" w:rsidP="000A41D4">
      <w:pPr>
        <w:pStyle w:val="1"/>
        <w:ind w:left="-284"/>
        <w:rPr>
          <w:rFonts w:cs="Times New Roman"/>
          <w:szCs w:val="24"/>
        </w:rPr>
      </w:pPr>
      <w:bookmarkStart w:id="12" w:name="_Toc65760309"/>
      <w:r w:rsidRPr="007518F8">
        <w:rPr>
          <w:rFonts w:cs="Times New Roman"/>
          <w:szCs w:val="24"/>
        </w:rPr>
        <w:t xml:space="preserve">3.1 </w:t>
      </w:r>
      <w:r w:rsidR="00842C28" w:rsidRPr="007518F8">
        <w:rPr>
          <w:rFonts w:cs="Times New Roman"/>
          <w:szCs w:val="24"/>
        </w:rPr>
        <w:t xml:space="preserve"> Affected Parties</w:t>
      </w:r>
      <w:bookmarkEnd w:id="12"/>
    </w:p>
    <w:p w14:paraId="00DB1BF9" w14:textId="77777777" w:rsidR="00067A31" w:rsidRPr="007518F8" w:rsidRDefault="00067A31" w:rsidP="000A41D4">
      <w:pPr>
        <w:autoSpaceDE w:val="0"/>
        <w:autoSpaceDN w:val="0"/>
        <w:adjustRightInd w:val="0"/>
        <w:spacing w:after="0" w:line="240" w:lineRule="auto"/>
        <w:ind w:left="-284"/>
        <w:jc w:val="both"/>
        <w:rPr>
          <w:rFonts w:ascii="Times New Roman" w:hAnsi="Times New Roman" w:cs="Times New Roman"/>
          <w:sz w:val="24"/>
          <w:szCs w:val="24"/>
        </w:rPr>
      </w:pPr>
    </w:p>
    <w:p w14:paraId="79C3951C" w14:textId="77777777" w:rsidR="00842C28" w:rsidRPr="007518F8" w:rsidRDefault="00842C28"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Affected Parties include local communities, community members and other parties that may be subject to direct impacts from the Project. Specifically, the following individuals and groups fall within this category:</w:t>
      </w:r>
    </w:p>
    <w:p w14:paraId="3871B817" w14:textId="4D0BD56E" w:rsidR="00840B7F" w:rsidRDefault="00840B7F" w:rsidP="00840B7F">
      <w:pPr>
        <w:autoSpaceDE w:val="0"/>
        <w:autoSpaceDN w:val="0"/>
        <w:adjustRightInd w:val="0"/>
        <w:spacing w:after="0" w:line="240" w:lineRule="auto"/>
        <w:jc w:val="both"/>
        <w:rPr>
          <w:rFonts w:ascii="Times New Roman" w:hAnsi="Times New Roman" w:cs="Times New Roman"/>
          <w:sz w:val="24"/>
          <w:szCs w:val="24"/>
        </w:rPr>
      </w:pPr>
    </w:p>
    <w:p w14:paraId="39037454" w14:textId="6A921905"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 xml:space="preserve">Healthcare professionals and staff in health care facilities providing inpatient care to COVID-19 patients and other patients (including primary care, public health workers, etc.).   </w:t>
      </w:r>
    </w:p>
    <w:p w14:paraId="664FB4E7" w14:textId="3EEAB30A"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Residents and workers of residential institutions, nursing homes for the elderly.</w:t>
      </w:r>
    </w:p>
    <w:p w14:paraId="1ADBF95B" w14:textId="186D7E80"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Military personnel (including the Armed Forces of Ukraine and the National Guard of Ukraine) participating in the Joint Forces Operation in the Eastern Ukraine.</w:t>
      </w:r>
    </w:p>
    <w:p w14:paraId="03F9E012" w14:textId="675CA683"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High-risk groups (persons over 80 years of age; persons aged 70-79 years; persons aged 65-69 years; persons aged 60-64 years; persons (aged 18 to 59 years) with concomitant diseases who are at risk for complications and death due to Covid-19</w:t>
      </w:r>
      <w:r w:rsidR="003908EF">
        <w:rPr>
          <w:rFonts w:ascii="Times New Roman" w:hAnsi="Times New Roman" w:cs="Times New Roman"/>
          <w:sz w:val="24"/>
          <w:szCs w:val="24"/>
          <w:lang w:val="uk-UA"/>
        </w:rPr>
        <w:t>)</w:t>
      </w:r>
      <w:r w:rsidRPr="00840B7F">
        <w:rPr>
          <w:rFonts w:ascii="Times New Roman" w:hAnsi="Times New Roman" w:cs="Times New Roman"/>
          <w:sz w:val="24"/>
          <w:szCs w:val="24"/>
        </w:rPr>
        <w:t>.</w:t>
      </w:r>
    </w:p>
    <w:p w14:paraId="2415B502" w14:textId="63A4121B"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Social workers and other social sector employees.</w:t>
      </w:r>
    </w:p>
    <w:p w14:paraId="6FCDD67B" w14:textId="5C932494"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Employees of agencies considered critical to national security, including the State Emergency Service of Ukraine, the National Police of Ukraine, the National Guard of Ukraine, the Security Service of Ukraine, servicemen of the Armed Forces of Ukraine, and the Ministry of Internal Affairs of Ukraine.</w:t>
      </w:r>
    </w:p>
    <w:p w14:paraId="46AA14D5" w14:textId="555247DC"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Teachers and other education sector workers.</w:t>
      </w:r>
    </w:p>
    <w:p w14:paraId="05EE1BCE" w14:textId="739611C8"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Residents of detention facilities and/or pretrial detention centers and employees of detention facilities, pretrial detention centers.</w:t>
      </w:r>
    </w:p>
    <w:p w14:paraId="1AAD5AF2" w14:textId="685888FC"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Persons infected with COVID-19.</w:t>
      </w:r>
    </w:p>
    <w:p w14:paraId="0786B6BB" w14:textId="0A72C4C2"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Persons with symptoms of COVID-19.</w:t>
      </w:r>
    </w:p>
    <w:p w14:paraId="561CDBFB" w14:textId="420CA50D"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Persons under COVID-19 quarantine.</w:t>
      </w:r>
    </w:p>
    <w:p w14:paraId="2C3000EE" w14:textId="46BFC604"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Contact persons with those infected with COVID-19.</w:t>
      </w:r>
    </w:p>
    <w:p w14:paraId="5A07A9C3" w14:textId="7988C771" w:rsidR="00840B7F" w:rsidRPr="00840B7F" w:rsidRDefault="00840B7F" w:rsidP="00EF1D2F">
      <w:pPr>
        <w:pStyle w:val="a4"/>
        <w:numPr>
          <w:ilvl w:val="0"/>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840B7F">
        <w:rPr>
          <w:rFonts w:ascii="Times New Roman" w:hAnsi="Times New Roman" w:cs="Times New Roman"/>
          <w:sz w:val="24"/>
          <w:szCs w:val="24"/>
        </w:rPr>
        <w:t>Employees of medical waste disposal services.</w:t>
      </w:r>
    </w:p>
    <w:p w14:paraId="2FBD34ED" w14:textId="177B54AA" w:rsidR="00A63883" w:rsidRPr="007518F8" w:rsidRDefault="007518F8" w:rsidP="000A41D4">
      <w:pPr>
        <w:pStyle w:val="1"/>
        <w:ind w:left="-284"/>
        <w:rPr>
          <w:rFonts w:cs="Times New Roman"/>
          <w:szCs w:val="24"/>
        </w:rPr>
      </w:pPr>
      <w:bookmarkStart w:id="13" w:name="_Toc65760310"/>
      <w:r w:rsidRPr="007518F8">
        <w:rPr>
          <w:rFonts w:cs="Times New Roman"/>
          <w:szCs w:val="24"/>
        </w:rPr>
        <w:t xml:space="preserve">3.2 </w:t>
      </w:r>
      <w:r w:rsidR="00A63883" w:rsidRPr="007518F8">
        <w:rPr>
          <w:rFonts w:cs="Times New Roman"/>
          <w:szCs w:val="24"/>
        </w:rPr>
        <w:t>Other Interested Parties</w:t>
      </w:r>
      <w:bookmarkEnd w:id="13"/>
    </w:p>
    <w:p w14:paraId="70CCC6B8" w14:textId="77777777" w:rsidR="00067A31" w:rsidRPr="007518F8" w:rsidRDefault="00067A31" w:rsidP="000A41D4">
      <w:pPr>
        <w:autoSpaceDE w:val="0"/>
        <w:autoSpaceDN w:val="0"/>
        <w:adjustRightInd w:val="0"/>
        <w:spacing w:after="0" w:line="240" w:lineRule="auto"/>
        <w:ind w:left="-284"/>
        <w:jc w:val="both"/>
        <w:rPr>
          <w:rFonts w:ascii="Times New Roman" w:hAnsi="Times New Roman" w:cs="Times New Roman"/>
          <w:sz w:val="24"/>
          <w:szCs w:val="24"/>
        </w:rPr>
      </w:pPr>
    </w:p>
    <w:p w14:paraId="08A42A7D" w14:textId="77777777" w:rsidR="00A63883" w:rsidRPr="007518F8" w:rsidRDefault="00A63883"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The projects’ stakeholders also include parties other than the directly affected communities, including:</w:t>
      </w:r>
    </w:p>
    <w:p w14:paraId="1CB8340D" w14:textId="0661748C" w:rsidR="00E349DD" w:rsidRPr="007518F8" w:rsidRDefault="00E349DD" w:rsidP="000A41D4">
      <w:pPr>
        <w:autoSpaceDE w:val="0"/>
        <w:autoSpaceDN w:val="0"/>
        <w:adjustRightInd w:val="0"/>
        <w:spacing w:after="0" w:line="240" w:lineRule="auto"/>
        <w:ind w:left="-284"/>
        <w:jc w:val="both"/>
        <w:rPr>
          <w:rFonts w:ascii="Times New Roman" w:hAnsi="Times New Roman" w:cs="Times New Roman"/>
          <w:sz w:val="24"/>
          <w:szCs w:val="24"/>
        </w:rPr>
      </w:pPr>
    </w:p>
    <w:p w14:paraId="7A265E52" w14:textId="1FA64996"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Health (MoH)/PIU; </w:t>
      </w:r>
      <w:r w:rsidR="005478AB" w:rsidRPr="007518F8">
        <w:rPr>
          <w:rFonts w:ascii="Times New Roman" w:hAnsi="Times New Roman" w:cs="Times New Roman"/>
          <w:sz w:val="24"/>
          <w:szCs w:val="24"/>
        </w:rPr>
        <w:t xml:space="preserve">- </w:t>
      </w:r>
      <w:r w:rsidR="00354DE6" w:rsidRPr="007518F8">
        <w:rPr>
          <w:rFonts w:ascii="Times New Roman" w:hAnsi="Times New Roman" w:cs="Times New Roman"/>
          <w:sz w:val="24"/>
          <w:szCs w:val="24"/>
        </w:rPr>
        <w:t>health care</w:t>
      </w:r>
      <w:r w:rsidRPr="007518F8">
        <w:rPr>
          <w:rFonts w:ascii="Times New Roman" w:hAnsi="Times New Roman" w:cs="Times New Roman"/>
          <w:sz w:val="24"/>
          <w:szCs w:val="24"/>
        </w:rPr>
        <w:t xml:space="preserve"> departments </w:t>
      </w:r>
      <w:r w:rsidR="00354DE6" w:rsidRPr="007518F8">
        <w:rPr>
          <w:rFonts w:ascii="Times New Roman" w:hAnsi="Times New Roman" w:cs="Times New Roman"/>
          <w:sz w:val="24"/>
          <w:szCs w:val="24"/>
        </w:rPr>
        <w:t>of oblasts and cities administrations;</w:t>
      </w:r>
      <w:r w:rsidR="00310664" w:rsidRPr="007518F8">
        <w:rPr>
          <w:rFonts w:ascii="Times New Roman" w:hAnsi="Times New Roman" w:cs="Times New Roman"/>
          <w:sz w:val="24"/>
          <w:szCs w:val="24"/>
          <w:lang w:val="uk-UA"/>
        </w:rPr>
        <w:t xml:space="preserve"> </w:t>
      </w:r>
      <w:r w:rsidR="00B127A6" w:rsidRPr="007518F8">
        <w:rPr>
          <w:rFonts w:ascii="Times New Roman" w:hAnsi="Times New Roman" w:cs="Times New Roman"/>
          <w:sz w:val="24"/>
          <w:szCs w:val="24"/>
        </w:rPr>
        <w:t xml:space="preserve">health care </w:t>
      </w:r>
      <w:r w:rsidR="001311D6" w:rsidRPr="007518F8">
        <w:rPr>
          <w:rFonts w:ascii="Times New Roman" w:hAnsi="Times New Roman" w:cs="Times New Roman"/>
          <w:sz w:val="24"/>
          <w:szCs w:val="24"/>
        </w:rPr>
        <w:t>institutions</w:t>
      </w:r>
      <w:r w:rsidR="00B127A6" w:rsidRPr="007518F8">
        <w:rPr>
          <w:rFonts w:ascii="Times New Roman" w:hAnsi="Times New Roman" w:cs="Times New Roman"/>
          <w:sz w:val="24"/>
          <w:szCs w:val="24"/>
        </w:rPr>
        <w:t>;</w:t>
      </w:r>
    </w:p>
    <w:p w14:paraId="64F17071" w14:textId="551265E6" w:rsidR="00354DE6" w:rsidRPr="007518F8" w:rsidRDefault="00354DE6"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Parliament</w:t>
      </w:r>
      <w:r w:rsidR="001311D6" w:rsidRPr="007518F8">
        <w:rPr>
          <w:rFonts w:ascii="Times New Roman" w:hAnsi="Times New Roman" w:cs="Times New Roman"/>
          <w:sz w:val="24"/>
          <w:szCs w:val="24"/>
        </w:rPr>
        <w:t xml:space="preserve"> of Ukraine</w:t>
      </w:r>
      <w:r w:rsidRPr="007518F8">
        <w:rPr>
          <w:rFonts w:ascii="Times New Roman" w:hAnsi="Times New Roman" w:cs="Times New Roman"/>
          <w:sz w:val="24"/>
          <w:szCs w:val="24"/>
        </w:rPr>
        <w:t>;</w:t>
      </w:r>
    </w:p>
    <w:p w14:paraId="2CFD6CD9" w14:textId="64059C3C"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w:t>
      </w:r>
      <w:r w:rsidR="0040450D" w:rsidRPr="007518F8">
        <w:rPr>
          <w:rFonts w:ascii="Times New Roman" w:hAnsi="Times New Roman" w:cs="Times New Roman"/>
          <w:sz w:val="24"/>
          <w:szCs w:val="24"/>
        </w:rPr>
        <w:t xml:space="preserve">of </w:t>
      </w:r>
      <w:r w:rsidRPr="007518F8">
        <w:rPr>
          <w:rFonts w:ascii="Times New Roman" w:hAnsi="Times New Roman" w:cs="Times New Roman"/>
          <w:sz w:val="24"/>
          <w:szCs w:val="24"/>
        </w:rPr>
        <w:t>Education and Science of Ukraine</w:t>
      </w:r>
      <w:r w:rsidR="00013012" w:rsidRPr="007518F8">
        <w:rPr>
          <w:rFonts w:ascii="Times New Roman" w:hAnsi="Times New Roman" w:cs="Times New Roman"/>
          <w:sz w:val="24"/>
          <w:szCs w:val="24"/>
        </w:rPr>
        <w:t>;</w:t>
      </w:r>
    </w:p>
    <w:p w14:paraId="233D270D" w14:textId="0BD2988E" w:rsidR="00013012" w:rsidRPr="007518F8" w:rsidRDefault="00013012"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Public Health Center;</w:t>
      </w:r>
    </w:p>
    <w:p w14:paraId="11457A74" w14:textId="4177CB8A"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w:t>
      </w:r>
      <w:r w:rsidR="0040450D" w:rsidRPr="007518F8">
        <w:rPr>
          <w:rFonts w:ascii="Times New Roman" w:hAnsi="Times New Roman" w:cs="Times New Roman"/>
          <w:sz w:val="24"/>
          <w:szCs w:val="24"/>
        </w:rPr>
        <w:t xml:space="preserve">Finance </w:t>
      </w:r>
      <w:r w:rsidRPr="007518F8">
        <w:rPr>
          <w:rFonts w:ascii="Times New Roman" w:hAnsi="Times New Roman" w:cs="Times New Roman"/>
          <w:sz w:val="24"/>
          <w:szCs w:val="24"/>
        </w:rPr>
        <w:t>of Ukraine;</w:t>
      </w:r>
    </w:p>
    <w:p w14:paraId="317781C4" w14:textId="5EA0591D" w:rsidR="00E349DD"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Ministry of </w:t>
      </w:r>
      <w:r w:rsidR="0040450D" w:rsidRPr="007518F8">
        <w:rPr>
          <w:rFonts w:ascii="Times New Roman" w:hAnsi="Times New Roman" w:cs="Times New Roman"/>
          <w:sz w:val="24"/>
          <w:szCs w:val="24"/>
        </w:rPr>
        <w:t xml:space="preserve">Defense </w:t>
      </w:r>
      <w:r w:rsidRPr="007518F8">
        <w:rPr>
          <w:rFonts w:ascii="Times New Roman" w:hAnsi="Times New Roman" w:cs="Times New Roman"/>
          <w:sz w:val="24"/>
          <w:szCs w:val="24"/>
        </w:rPr>
        <w:t>of Ukraine;</w:t>
      </w:r>
    </w:p>
    <w:p w14:paraId="48879C94" w14:textId="2F6BDE67" w:rsidR="009D0757" w:rsidRPr="007518F8" w:rsidRDefault="009D0757"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Ministry of Justice of Ukraine;</w:t>
      </w:r>
    </w:p>
    <w:p w14:paraId="0EF4E9C6" w14:textId="10D350B4"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National Security and </w:t>
      </w:r>
      <w:r w:rsidR="0040450D" w:rsidRPr="007518F8">
        <w:rPr>
          <w:rFonts w:ascii="Times New Roman" w:hAnsi="Times New Roman" w:cs="Times New Roman"/>
          <w:sz w:val="24"/>
          <w:szCs w:val="24"/>
        </w:rPr>
        <w:t xml:space="preserve">Defense Council </w:t>
      </w:r>
      <w:r w:rsidRPr="007518F8">
        <w:rPr>
          <w:rFonts w:ascii="Times New Roman" w:hAnsi="Times New Roman" w:cs="Times New Roman"/>
          <w:sz w:val="24"/>
          <w:szCs w:val="24"/>
        </w:rPr>
        <w:t xml:space="preserve">of Ukraine; </w:t>
      </w:r>
    </w:p>
    <w:p w14:paraId="576EABB6" w14:textId="7AC87AD0" w:rsidR="00013012" w:rsidRPr="007518F8" w:rsidRDefault="00013012"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Ministry of Social Policy of Ukraine;</w:t>
      </w:r>
    </w:p>
    <w:p w14:paraId="17CC20A1" w14:textId="4569B330"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National </w:t>
      </w:r>
      <w:r w:rsidR="0040450D" w:rsidRPr="007518F8">
        <w:rPr>
          <w:rFonts w:ascii="Times New Roman" w:hAnsi="Times New Roman" w:cs="Times New Roman"/>
          <w:sz w:val="24"/>
          <w:szCs w:val="24"/>
        </w:rPr>
        <w:t>Health Servic</w:t>
      </w:r>
      <w:r w:rsidRPr="007518F8">
        <w:rPr>
          <w:rFonts w:ascii="Times New Roman" w:hAnsi="Times New Roman" w:cs="Times New Roman"/>
          <w:sz w:val="24"/>
          <w:szCs w:val="24"/>
        </w:rPr>
        <w:t>e of Ukraine;</w:t>
      </w:r>
    </w:p>
    <w:p w14:paraId="0D0C7C96" w14:textId="4961B8AA"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Other </w:t>
      </w:r>
      <w:r w:rsidR="001311D6" w:rsidRPr="007518F8">
        <w:rPr>
          <w:rFonts w:ascii="Times New Roman" w:hAnsi="Times New Roman" w:cs="Times New Roman"/>
          <w:sz w:val="24"/>
          <w:szCs w:val="24"/>
        </w:rPr>
        <w:t>G</w:t>
      </w:r>
      <w:r w:rsidRPr="007518F8">
        <w:rPr>
          <w:rFonts w:ascii="Times New Roman" w:hAnsi="Times New Roman" w:cs="Times New Roman"/>
          <w:sz w:val="24"/>
          <w:szCs w:val="24"/>
        </w:rPr>
        <w:t>overnment agencies and state bodies;</w:t>
      </w:r>
    </w:p>
    <w:p w14:paraId="33142D88" w14:textId="77777777"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Pharmacist associations and institution;  </w:t>
      </w:r>
    </w:p>
    <w:p w14:paraId="2823863C" w14:textId="5CC80E5A" w:rsidR="00E349DD" w:rsidRPr="007518F8" w:rsidRDefault="001311D6"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M</w:t>
      </w:r>
      <w:r w:rsidR="00E349DD" w:rsidRPr="007518F8">
        <w:rPr>
          <w:rFonts w:ascii="Times New Roman" w:hAnsi="Times New Roman" w:cs="Times New Roman"/>
          <w:sz w:val="24"/>
          <w:szCs w:val="24"/>
        </w:rPr>
        <w:t>edia and journalists;</w:t>
      </w:r>
    </w:p>
    <w:p w14:paraId="75E17EBD" w14:textId="01DB79A7"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Civil society groups and NGOs on </w:t>
      </w:r>
      <w:r w:rsidR="001311D6" w:rsidRPr="007518F8">
        <w:rPr>
          <w:rFonts w:ascii="Times New Roman" w:hAnsi="Times New Roman" w:cs="Times New Roman"/>
          <w:sz w:val="24"/>
          <w:szCs w:val="24"/>
        </w:rPr>
        <w:t>i</w:t>
      </w:r>
      <w:r w:rsidRPr="007518F8">
        <w:rPr>
          <w:rFonts w:ascii="Times New Roman" w:hAnsi="Times New Roman" w:cs="Times New Roman"/>
          <w:sz w:val="24"/>
          <w:szCs w:val="24"/>
        </w:rPr>
        <w:t>nternational, national, regional and local levels that pursue medical and socio-economic interests and may become partners of the project;</w:t>
      </w:r>
    </w:p>
    <w:p w14:paraId="50075A63" w14:textId="77777777" w:rsidR="00B6623C" w:rsidRPr="001C6166"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International organizations specialized on healthcare sector</w:t>
      </w:r>
      <w:r w:rsidR="00B6623C">
        <w:rPr>
          <w:rFonts w:ascii="Times New Roman" w:hAnsi="Times New Roman" w:cs="Times New Roman"/>
          <w:sz w:val="24"/>
          <w:szCs w:val="24"/>
          <w:lang w:val="uk-UA"/>
        </w:rPr>
        <w:t xml:space="preserve">: </w:t>
      </w:r>
    </w:p>
    <w:p w14:paraId="63A56AB9" w14:textId="38DFFDCE" w:rsidR="00B6623C" w:rsidRDefault="00B6623C" w:rsidP="00EF1D2F">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USAID</w:t>
      </w:r>
      <w:r w:rsidR="00E349DD" w:rsidRPr="001C6166">
        <w:rPr>
          <w:rFonts w:ascii="Times New Roman" w:hAnsi="Times New Roman" w:cs="Times New Roman"/>
          <w:sz w:val="24"/>
          <w:szCs w:val="24"/>
        </w:rPr>
        <w:t xml:space="preserve">, </w:t>
      </w:r>
    </w:p>
    <w:p w14:paraId="759FC6E7" w14:textId="77777777" w:rsidR="00B6623C" w:rsidRPr="001C6166" w:rsidRDefault="00E349DD" w:rsidP="00EF1D2F">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sidRPr="001C6166">
        <w:rPr>
          <w:rFonts w:ascii="Times New Roman" w:hAnsi="Times New Roman" w:cs="Times New Roman"/>
          <w:sz w:val="24"/>
          <w:szCs w:val="24"/>
        </w:rPr>
        <w:t>WHO,</w:t>
      </w:r>
      <w:r w:rsidR="00B6623C" w:rsidRPr="001C6166">
        <w:rPr>
          <w:rFonts w:ascii="Times New Roman" w:hAnsi="Times New Roman" w:cs="Times New Roman"/>
          <w:sz w:val="24"/>
          <w:szCs w:val="24"/>
          <w:lang w:val="uk-UA"/>
        </w:rPr>
        <w:t xml:space="preserve"> </w:t>
      </w:r>
    </w:p>
    <w:p w14:paraId="66C81BC8" w14:textId="45F1759A" w:rsidR="00E349DD" w:rsidRPr="001C6166" w:rsidRDefault="00B6623C" w:rsidP="00EF1D2F">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sidRPr="001C6166">
        <w:rPr>
          <w:rFonts w:ascii="Times New Roman" w:hAnsi="Times New Roman" w:cs="Times New Roman"/>
          <w:sz w:val="24"/>
          <w:szCs w:val="24"/>
        </w:rPr>
        <w:t xml:space="preserve">UNICEF </w:t>
      </w:r>
      <w:r w:rsidR="00E349DD" w:rsidRPr="001C6166">
        <w:rPr>
          <w:rFonts w:ascii="Times New Roman" w:hAnsi="Times New Roman" w:cs="Times New Roman"/>
          <w:sz w:val="24"/>
          <w:szCs w:val="24"/>
        </w:rPr>
        <w:t>etc</w:t>
      </w:r>
      <w:r>
        <w:rPr>
          <w:rFonts w:ascii="Times New Roman" w:hAnsi="Times New Roman" w:cs="Times New Roman"/>
          <w:sz w:val="24"/>
          <w:szCs w:val="24"/>
        </w:rPr>
        <w:t>.</w:t>
      </w:r>
    </w:p>
    <w:p w14:paraId="25DEC311" w14:textId="77777777"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Businesses with international links; and</w:t>
      </w:r>
    </w:p>
    <w:p w14:paraId="6DEE1CDE" w14:textId="77777777" w:rsidR="00E349DD" w:rsidRPr="007518F8" w:rsidRDefault="00E349DD"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Public at large.</w:t>
      </w:r>
    </w:p>
    <w:p w14:paraId="62D66B9B" w14:textId="77777777" w:rsidR="00E349DD" w:rsidRPr="007518F8" w:rsidRDefault="00E349DD" w:rsidP="000A41D4">
      <w:pPr>
        <w:autoSpaceDE w:val="0"/>
        <w:autoSpaceDN w:val="0"/>
        <w:adjustRightInd w:val="0"/>
        <w:spacing w:after="0" w:line="240" w:lineRule="auto"/>
        <w:ind w:left="-284"/>
        <w:jc w:val="both"/>
        <w:rPr>
          <w:rFonts w:ascii="Times New Roman" w:hAnsi="Times New Roman" w:cs="Times New Roman"/>
          <w:sz w:val="24"/>
          <w:szCs w:val="24"/>
        </w:rPr>
      </w:pPr>
    </w:p>
    <w:p w14:paraId="19FCB749" w14:textId="716BAEAF" w:rsidR="009A2905" w:rsidRPr="007518F8" w:rsidRDefault="009A2905" w:rsidP="000A41D4">
      <w:pPr>
        <w:pStyle w:val="1"/>
        <w:ind w:left="-284"/>
        <w:rPr>
          <w:rFonts w:cs="Times New Roman"/>
          <w:szCs w:val="24"/>
        </w:rPr>
      </w:pPr>
      <w:r w:rsidRPr="007518F8">
        <w:rPr>
          <w:rFonts w:cs="Times New Roman"/>
          <w:szCs w:val="24"/>
        </w:rPr>
        <w:t xml:space="preserve"> </w:t>
      </w:r>
      <w:bookmarkStart w:id="14" w:name="_Toc65760311"/>
      <w:r w:rsidR="007518F8" w:rsidRPr="007518F8">
        <w:rPr>
          <w:rFonts w:cs="Times New Roman"/>
          <w:szCs w:val="24"/>
        </w:rPr>
        <w:t xml:space="preserve">3.3 </w:t>
      </w:r>
      <w:r w:rsidRPr="007518F8">
        <w:rPr>
          <w:rFonts w:cs="Times New Roman"/>
          <w:szCs w:val="24"/>
        </w:rPr>
        <w:t>Disadvantaged / vulnerable individuals or groups</w:t>
      </w:r>
      <w:bookmarkEnd w:id="14"/>
    </w:p>
    <w:p w14:paraId="0F102511" w14:textId="77777777" w:rsidR="009A2905" w:rsidRPr="007518F8" w:rsidRDefault="009A2905" w:rsidP="000A41D4">
      <w:pPr>
        <w:autoSpaceDE w:val="0"/>
        <w:autoSpaceDN w:val="0"/>
        <w:adjustRightInd w:val="0"/>
        <w:spacing w:after="0" w:line="240" w:lineRule="auto"/>
        <w:ind w:left="-284"/>
        <w:contextualSpacing/>
        <w:jc w:val="both"/>
        <w:rPr>
          <w:rFonts w:ascii="Times New Roman" w:hAnsi="Times New Roman" w:cs="Times New Roman"/>
          <w:sz w:val="24"/>
          <w:szCs w:val="24"/>
        </w:rPr>
      </w:pPr>
    </w:p>
    <w:p w14:paraId="796AC3D4" w14:textId="2628BB6B" w:rsidR="009A2905" w:rsidRPr="007518F8" w:rsidRDefault="009A2905" w:rsidP="000A41D4">
      <w:pPr>
        <w:autoSpaceDE w:val="0"/>
        <w:autoSpaceDN w:val="0"/>
        <w:adjustRightInd w:val="0"/>
        <w:spacing w:after="0" w:line="240" w:lineRule="auto"/>
        <w:ind w:left="-284"/>
        <w:contextualSpacing/>
        <w:jc w:val="both"/>
        <w:rPr>
          <w:rFonts w:ascii="Times New Roman" w:hAnsi="Times New Roman" w:cs="Times New Roman"/>
          <w:sz w:val="24"/>
          <w:szCs w:val="24"/>
        </w:rPr>
      </w:pPr>
      <w:r w:rsidRPr="007518F8">
        <w:rPr>
          <w:rFonts w:ascii="Times New Roman" w:hAnsi="Times New Roman" w:cs="Times New Roman"/>
          <w:sz w:val="24"/>
          <w:szCs w:val="24"/>
        </w:rPr>
        <w:t xml:space="preserve">It is particularly important to understand whether project impacts may disproportionately fall on disadvantaged or vulnerable individuals or groups, who often do not have a voice to express their concerns or understand the impacts of a project and to ensure that awareness raising and stakeholder engagement with disadvantaged or vulnerable individuals or groups on infectious diseases and medical treatments in particular, be adapted to take into account such groups or individuals, particular sensitivities, concerns and cultural sensitivities and to ensure a full understanding of project activities and benefits. The vulnerability may stem from person’s origin, gender, age, health condition, economic deficiency and financial insecurity, disadvantaged status in the community (e.g. minorities or fringe groups), dependence on other individuals or natural resources, etc. Engagement </w:t>
      </w:r>
      <w:r w:rsidR="001311D6" w:rsidRPr="007518F8">
        <w:rPr>
          <w:rFonts w:ascii="Times New Roman" w:hAnsi="Times New Roman" w:cs="Times New Roman"/>
          <w:sz w:val="24"/>
          <w:szCs w:val="24"/>
        </w:rPr>
        <w:t>of</w:t>
      </w:r>
      <w:r w:rsidRPr="007518F8">
        <w:rPr>
          <w:rFonts w:ascii="Times New Roman" w:hAnsi="Times New Roman" w:cs="Times New Roman"/>
          <w:sz w:val="24"/>
          <w:szCs w:val="24"/>
        </w:rPr>
        <w:t xml:space="preserve"> the</w:t>
      </w:r>
    </w:p>
    <w:p w14:paraId="0FE7A73C" w14:textId="77777777" w:rsidR="009A2905" w:rsidRPr="007518F8" w:rsidRDefault="009A2905"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vulnerable groups and individuals often requires the application of specific measures and assistance aimed at the facilitation of their participation in the project-related decision making so that their awareness of and input to the overall process are commensurate to those of the other stakeholders.</w:t>
      </w:r>
    </w:p>
    <w:p w14:paraId="45076F28" w14:textId="77777777" w:rsidR="009A2905" w:rsidRPr="007518F8" w:rsidRDefault="009A2905" w:rsidP="000A41D4">
      <w:pPr>
        <w:autoSpaceDE w:val="0"/>
        <w:autoSpaceDN w:val="0"/>
        <w:adjustRightInd w:val="0"/>
        <w:spacing w:after="0" w:line="240" w:lineRule="auto"/>
        <w:ind w:left="-284"/>
        <w:jc w:val="both"/>
        <w:rPr>
          <w:rFonts w:ascii="Times New Roman" w:hAnsi="Times New Roman" w:cs="Times New Roman"/>
          <w:sz w:val="24"/>
          <w:szCs w:val="24"/>
        </w:rPr>
      </w:pPr>
    </w:p>
    <w:p w14:paraId="49401A83" w14:textId="77777777" w:rsidR="009A2905" w:rsidRPr="007518F8" w:rsidRDefault="009A2905" w:rsidP="000A41D4">
      <w:pPr>
        <w:autoSpaceDE w:val="0"/>
        <w:autoSpaceDN w:val="0"/>
        <w:adjustRightInd w:val="0"/>
        <w:spacing w:after="0" w:line="240" w:lineRule="auto"/>
        <w:ind w:left="-284"/>
        <w:jc w:val="both"/>
        <w:rPr>
          <w:rFonts w:ascii="Times New Roman" w:hAnsi="Times New Roman" w:cs="Times New Roman"/>
          <w:sz w:val="24"/>
          <w:szCs w:val="24"/>
        </w:rPr>
      </w:pPr>
      <w:r w:rsidRPr="007518F8">
        <w:rPr>
          <w:rFonts w:ascii="Times New Roman" w:hAnsi="Times New Roman" w:cs="Times New Roman"/>
          <w:sz w:val="24"/>
          <w:szCs w:val="24"/>
        </w:rPr>
        <w:t>Within the Project, the vulnerable or disadvantaged groups may include and are not limited to the following:</w:t>
      </w:r>
    </w:p>
    <w:p w14:paraId="3B45EA48" w14:textId="70715FB3" w:rsidR="009A2905" w:rsidRPr="007518F8"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Retired elderly</w:t>
      </w:r>
      <w:r w:rsidR="00483292">
        <w:rPr>
          <w:rFonts w:ascii="Times New Roman" w:hAnsi="Times New Roman" w:cs="Times New Roman"/>
          <w:sz w:val="24"/>
          <w:szCs w:val="24"/>
          <w:lang w:val="uk-UA"/>
        </w:rPr>
        <w:t xml:space="preserve"> </w:t>
      </w:r>
      <w:r w:rsidR="00483292">
        <w:rPr>
          <w:rFonts w:ascii="Times New Roman" w:hAnsi="Times New Roman" w:cs="Times New Roman"/>
          <w:sz w:val="24"/>
          <w:szCs w:val="24"/>
        </w:rPr>
        <w:t>including those who live alone</w:t>
      </w:r>
      <w:r w:rsidRPr="007518F8">
        <w:rPr>
          <w:rFonts w:ascii="Times New Roman" w:hAnsi="Times New Roman" w:cs="Times New Roman"/>
          <w:sz w:val="24"/>
          <w:szCs w:val="24"/>
        </w:rPr>
        <w:t>;</w:t>
      </w:r>
    </w:p>
    <w:p w14:paraId="3CE4E454" w14:textId="49535AC6" w:rsidR="00354DE6" w:rsidRPr="007518F8" w:rsidRDefault="00354DE6"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Patients with chronical deseases;</w:t>
      </w:r>
    </w:p>
    <w:p w14:paraId="0439AC12" w14:textId="0CAE41B0" w:rsidR="009A2905" w:rsidRPr="007518F8"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People with disabilities;</w:t>
      </w:r>
    </w:p>
    <w:p w14:paraId="338ACED6" w14:textId="604D5466" w:rsidR="009A2905" w:rsidRPr="007518F8"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Women-headed households and/or single mothers with underage children;</w:t>
      </w:r>
    </w:p>
    <w:p w14:paraId="6F2DA63B" w14:textId="0641B669" w:rsidR="009A2905" w:rsidRPr="007518F8"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Extended low-income families;</w:t>
      </w:r>
    </w:p>
    <w:p w14:paraId="454F1201" w14:textId="21FF9E42" w:rsidR="009A2905" w:rsidRPr="007518F8"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Unemployed</w:t>
      </w:r>
      <w:r w:rsidR="001311D6" w:rsidRPr="007518F8">
        <w:rPr>
          <w:rFonts w:ascii="Times New Roman" w:hAnsi="Times New Roman" w:cs="Times New Roman"/>
          <w:sz w:val="24"/>
          <w:szCs w:val="24"/>
        </w:rPr>
        <w:t xml:space="preserve"> persons</w:t>
      </w:r>
      <w:r w:rsidRPr="007518F8">
        <w:rPr>
          <w:rFonts w:ascii="Times New Roman" w:hAnsi="Times New Roman" w:cs="Times New Roman"/>
          <w:sz w:val="24"/>
          <w:szCs w:val="24"/>
        </w:rPr>
        <w:t>;</w:t>
      </w:r>
    </w:p>
    <w:p w14:paraId="463B21FB" w14:textId="14EAE0DF" w:rsidR="009D0757"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Residents of </w:t>
      </w:r>
      <w:r w:rsidR="009D0757">
        <w:rPr>
          <w:rFonts w:ascii="Times New Roman" w:hAnsi="Times New Roman" w:cs="Times New Roman"/>
          <w:sz w:val="24"/>
          <w:szCs w:val="24"/>
        </w:rPr>
        <w:t>long-term care facilities;</w:t>
      </w:r>
    </w:p>
    <w:p w14:paraId="1751F160" w14:textId="18B9F572" w:rsidR="009A2905" w:rsidRPr="007518F8"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People under domestic violence risk;</w:t>
      </w:r>
    </w:p>
    <w:p w14:paraId="3DA5A48D" w14:textId="5B397A19" w:rsidR="009A2905" w:rsidRDefault="009A2905"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Homeless people and street beggars</w:t>
      </w:r>
      <w:r w:rsidR="00C9487E">
        <w:rPr>
          <w:rFonts w:ascii="Times New Roman" w:hAnsi="Times New Roman" w:cs="Times New Roman"/>
          <w:sz w:val="24"/>
          <w:szCs w:val="24"/>
          <w:lang w:val="uk-UA"/>
        </w:rPr>
        <w:t>;</w:t>
      </w:r>
    </w:p>
    <w:p w14:paraId="079F7C9F" w14:textId="00E9A426" w:rsidR="007D53F2" w:rsidRDefault="007D53F2" w:rsidP="00EF1D2F">
      <w:pPr>
        <w:pStyle w:val="a4"/>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Ethnic minorities</w:t>
      </w:r>
      <w:r w:rsidR="003C58CE">
        <w:rPr>
          <w:rFonts w:ascii="Times New Roman" w:hAnsi="Times New Roman" w:cs="Times New Roman"/>
          <w:sz w:val="24"/>
          <w:szCs w:val="24"/>
        </w:rPr>
        <w:t xml:space="preserve"> (including but not limited to Crimean Tatars and Roma population, etc)</w:t>
      </w:r>
      <w:r w:rsidR="00C9487E">
        <w:rPr>
          <w:rFonts w:ascii="Times New Roman" w:hAnsi="Times New Roman" w:cs="Times New Roman"/>
          <w:sz w:val="24"/>
          <w:szCs w:val="24"/>
        </w:rPr>
        <w:t xml:space="preserve">. </w:t>
      </w:r>
    </w:p>
    <w:p w14:paraId="1E4AFD2E" w14:textId="77777777" w:rsidR="00EC4CE0" w:rsidRPr="007518F8" w:rsidRDefault="00EC4CE0" w:rsidP="00EC4CE0">
      <w:pPr>
        <w:pStyle w:val="a4"/>
        <w:autoSpaceDE w:val="0"/>
        <w:autoSpaceDN w:val="0"/>
        <w:adjustRightInd w:val="0"/>
        <w:spacing w:after="0" w:line="240" w:lineRule="auto"/>
        <w:ind w:left="-284"/>
        <w:jc w:val="both"/>
        <w:rPr>
          <w:rFonts w:ascii="Times New Roman" w:hAnsi="Times New Roman" w:cs="Times New Roman"/>
          <w:sz w:val="24"/>
          <w:szCs w:val="24"/>
        </w:rPr>
      </w:pPr>
    </w:p>
    <w:p w14:paraId="0D07DECB" w14:textId="2E1DA01E" w:rsidR="009A2905" w:rsidRPr="007518F8" w:rsidRDefault="007518F8" w:rsidP="000A41D4">
      <w:pPr>
        <w:pStyle w:val="1"/>
        <w:ind w:left="-284"/>
        <w:rPr>
          <w:rFonts w:cs="Times New Roman"/>
          <w:szCs w:val="24"/>
        </w:rPr>
      </w:pPr>
      <w:bookmarkStart w:id="15" w:name="_Toc65760312"/>
      <w:r w:rsidRPr="007518F8">
        <w:rPr>
          <w:rFonts w:cs="Times New Roman"/>
          <w:szCs w:val="24"/>
        </w:rPr>
        <w:t xml:space="preserve">3.4 </w:t>
      </w:r>
      <w:r w:rsidR="00E6752E" w:rsidRPr="007518F8">
        <w:rPr>
          <w:rFonts w:cs="Times New Roman"/>
          <w:szCs w:val="24"/>
        </w:rPr>
        <w:t>Stakeholder dialogue and outcomes during project preparation</w:t>
      </w:r>
      <w:bookmarkEnd w:id="15"/>
    </w:p>
    <w:p w14:paraId="01FABF9B" w14:textId="49D06A27" w:rsidR="00E6752E" w:rsidRDefault="00E6752E" w:rsidP="000A41D4">
      <w:pPr>
        <w:ind w:left="-284"/>
        <w:rPr>
          <w:rFonts w:ascii="Times New Roman" w:hAnsi="Times New Roman" w:cs="Times New Roman"/>
          <w:sz w:val="24"/>
          <w:szCs w:val="24"/>
        </w:rPr>
      </w:pPr>
    </w:p>
    <w:p w14:paraId="5B853F9F" w14:textId="3CD43ED4" w:rsidR="007242D0" w:rsidRPr="007242D0" w:rsidRDefault="007242D0" w:rsidP="000A41D4">
      <w:pPr>
        <w:ind w:left="-284"/>
        <w:rPr>
          <w:rFonts w:ascii="Times New Roman" w:hAnsi="Times New Roman" w:cs="Times New Roman"/>
          <w:i/>
          <w:iCs/>
          <w:sz w:val="24"/>
          <w:szCs w:val="24"/>
        </w:rPr>
      </w:pPr>
      <w:r>
        <w:rPr>
          <w:rFonts w:ascii="Times New Roman" w:hAnsi="Times New Roman" w:cs="Times New Roman"/>
          <w:i/>
          <w:iCs/>
          <w:sz w:val="24"/>
          <w:szCs w:val="24"/>
        </w:rPr>
        <w:t>The first round of consultations with stakeholders</w:t>
      </w:r>
    </w:p>
    <w:p w14:paraId="322B43FF" w14:textId="3840994B" w:rsidR="00B55440" w:rsidRDefault="00B55440" w:rsidP="00B55440">
      <w:pPr>
        <w:autoSpaceDE w:val="0"/>
        <w:autoSpaceDN w:val="0"/>
        <w:adjustRightInd w:val="0"/>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rPr>
        <w:t xml:space="preserve">On </w:t>
      </w:r>
      <w:r w:rsidRPr="00B55440">
        <w:rPr>
          <w:rFonts w:ascii="Times New Roman" w:hAnsi="Times New Roman" w:cs="Times New Roman"/>
          <w:sz w:val="24"/>
          <w:szCs w:val="24"/>
          <w:lang w:val="uk-UA"/>
        </w:rPr>
        <w:t xml:space="preserve">2-3 December 2020 </w:t>
      </w:r>
      <w:r w:rsidR="00EC4CE0">
        <w:rPr>
          <w:rFonts w:ascii="Times New Roman" w:hAnsi="Times New Roman" w:cs="Times New Roman"/>
          <w:sz w:val="24"/>
          <w:szCs w:val="24"/>
        </w:rPr>
        <w:t>MOH</w:t>
      </w:r>
      <w:r w:rsidRPr="00B55440">
        <w:rPr>
          <w:rFonts w:ascii="Times New Roman" w:hAnsi="Times New Roman" w:cs="Times New Roman"/>
          <w:sz w:val="24"/>
          <w:szCs w:val="24"/>
          <w:lang w:val="uk-UA"/>
        </w:rPr>
        <w:t xml:space="preserve"> and </w:t>
      </w:r>
      <w:r>
        <w:rPr>
          <w:rFonts w:ascii="Times New Roman" w:hAnsi="Times New Roman" w:cs="Times New Roman"/>
          <w:sz w:val="24"/>
          <w:szCs w:val="24"/>
        </w:rPr>
        <w:t>PIU</w:t>
      </w:r>
      <w:r w:rsidRPr="00B55440">
        <w:rPr>
          <w:rFonts w:ascii="Times New Roman" w:hAnsi="Times New Roman" w:cs="Times New Roman"/>
          <w:sz w:val="24"/>
          <w:szCs w:val="24"/>
          <w:lang w:val="uk-UA"/>
        </w:rPr>
        <w:t xml:space="preserve"> organized the first round of consultations with government</w:t>
      </w:r>
      <w:r w:rsidR="00592D54">
        <w:rPr>
          <w:rFonts w:ascii="Times New Roman" w:hAnsi="Times New Roman" w:cs="Times New Roman"/>
          <w:sz w:val="24"/>
          <w:szCs w:val="24"/>
        </w:rPr>
        <w:t>al</w:t>
      </w:r>
      <w:r w:rsidRPr="00B55440">
        <w:rPr>
          <w:rFonts w:ascii="Times New Roman" w:hAnsi="Times New Roman" w:cs="Times New Roman"/>
          <w:sz w:val="24"/>
          <w:szCs w:val="24"/>
          <w:lang w:val="uk-UA"/>
        </w:rPr>
        <w:t xml:space="preserve"> organizations and NGOs to involve all stakeholders to discuss a potential Project "</w:t>
      </w:r>
      <w:r>
        <w:rPr>
          <w:rFonts w:ascii="Times New Roman" w:hAnsi="Times New Roman" w:cs="Times New Roman"/>
          <w:sz w:val="24"/>
          <w:szCs w:val="24"/>
        </w:rPr>
        <w:t xml:space="preserve">Ukraine </w:t>
      </w:r>
      <w:r w:rsidRPr="00B55440">
        <w:rPr>
          <w:rFonts w:ascii="Times New Roman" w:hAnsi="Times New Roman" w:cs="Times New Roman"/>
          <w:sz w:val="24"/>
          <w:szCs w:val="24"/>
          <w:lang w:val="uk-UA"/>
        </w:rPr>
        <w:t>emergency Covid-19 response and vaccination in Ukraine".</w:t>
      </w:r>
    </w:p>
    <w:p w14:paraId="665EF888" w14:textId="72F3093C" w:rsidR="00DC1E4A" w:rsidRDefault="00DC1E4A" w:rsidP="00B55440">
      <w:pPr>
        <w:autoSpaceDE w:val="0"/>
        <w:autoSpaceDN w:val="0"/>
        <w:adjustRightInd w:val="0"/>
        <w:spacing w:after="0" w:line="240" w:lineRule="auto"/>
        <w:ind w:left="-284"/>
        <w:jc w:val="both"/>
        <w:rPr>
          <w:rFonts w:ascii="Times New Roman" w:hAnsi="Times New Roman" w:cs="Times New Roman"/>
          <w:sz w:val="24"/>
          <w:szCs w:val="24"/>
        </w:rPr>
      </w:pPr>
      <w:r w:rsidRPr="00DC1E4A">
        <w:rPr>
          <w:rFonts w:ascii="Times New Roman" w:hAnsi="Times New Roman" w:cs="Times New Roman"/>
          <w:sz w:val="24"/>
          <w:szCs w:val="24"/>
          <w:lang w:val="uk-UA"/>
        </w:rPr>
        <w:t xml:space="preserve">Due to quarantine restrictions </w:t>
      </w:r>
      <w:r w:rsidRPr="00485C59">
        <w:rPr>
          <w:rFonts w:ascii="Times New Roman" w:eastAsia="Times New Roman" w:hAnsi="Times New Roman" w:cs="Times New Roman"/>
          <w:color w:val="222222"/>
          <w:sz w:val="24"/>
          <w:szCs w:val="24"/>
          <w:lang w:eastAsia="uk-UA"/>
        </w:rPr>
        <w:t xml:space="preserve">for the public gathering introduced </w:t>
      </w:r>
      <w:r w:rsidRPr="00DC1E4A">
        <w:rPr>
          <w:rFonts w:ascii="Times New Roman" w:hAnsi="Times New Roman" w:cs="Times New Roman"/>
          <w:sz w:val="24"/>
          <w:szCs w:val="24"/>
          <w:lang w:val="uk-UA"/>
        </w:rPr>
        <w:t xml:space="preserve">by the Government of Ukraine in order to prevent the spread of acute respiratory disease COVID-19 in Ukraine, consultations were </w:t>
      </w:r>
      <w:r w:rsidRPr="00485C59">
        <w:rPr>
          <w:rFonts w:ascii="Times New Roman" w:eastAsia="Times New Roman" w:hAnsi="Times New Roman" w:cs="Times New Roman"/>
          <w:color w:val="222222"/>
          <w:sz w:val="24"/>
          <w:szCs w:val="24"/>
          <w:lang w:eastAsia="uk-UA"/>
        </w:rPr>
        <w:t>organized virtual</w:t>
      </w:r>
      <w:r>
        <w:rPr>
          <w:rFonts w:ascii="Times New Roman" w:eastAsia="Times New Roman" w:hAnsi="Times New Roman" w:cs="Times New Roman"/>
          <w:color w:val="222222"/>
          <w:sz w:val="24"/>
          <w:szCs w:val="24"/>
          <w:lang w:eastAsia="uk-UA"/>
        </w:rPr>
        <w:t>ly/remotely</w:t>
      </w:r>
      <w:r w:rsidRPr="00DC1E4A">
        <w:rPr>
          <w:rFonts w:ascii="Times New Roman" w:hAnsi="Times New Roman" w:cs="Times New Roman"/>
          <w:sz w:val="24"/>
          <w:szCs w:val="24"/>
          <w:lang w:val="uk-UA"/>
        </w:rPr>
        <w:t>.</w:t>
      </w:r>
      <w:r>
        <w:rPr>
          <w:rFonts w:ascii="Times New Roman" w:hAnsi="Times New Roman" w:cs="Times New Roman"/>
          <w:sz w:val="24"/>
          <w:szCs w:val="24"/>
        </w:rPr>
        <w:t xml:space="preserve"> </w:t>
      </w:r>
    </w:p>
    <w:p w14:paraId="6FA0EF5C" w14:textId="49477226" w:rsidR="00DC1E4A" w:rsidRDefault="00DC1E4A" w:rsidP="00B55440">
      <w:pPr>
        <w:autoSpaceDE w:val="0"/>
        <w:autoSpaceDN w:val="0"/>
        <w:adjustRightInd w:val="0"/>
        <w:spacing w:after="0" w:line="240" w:lineRule="auto"/>
        <w:ind w:left="-284"/>
        <w:jc w:val="both"/>
        <w:rPr>
          <w:rFonts w:ascii="Times New Roman" w:hAnsi="Times New Roman" w:cs="Times New Roman"/>
          <w:sz w:val="24"/>
          <w:szCs w:val="24"/>
          <w:lang w:val="uk-UA"/>
        </w:rPr>
      </w:pPr>
      <w:r w:rsidRPr="007518F8">
        <w:rPr>
          <w:rFonts w:ascii="Times New Roman" w:hAnsi="Times New Roman" w:cs="Times New Roman"/>
          <w:sz w:val="24"/>
          <w:szCs w:val="24"/>
        </w:rPr>
        <w:t>There were about 30 stakeholders participated on behalf of governmental organizations, and about 20 stakeholders took part on behalf of non-governmental organizations.</w:t>
      </w:r>
    </w:p>
    <w:p w14:paraId="7551416A" w14:textId="1400DD36" w:rsidR="00DC1E4A" w:rsidRDefault="00DC1E4A" w:rsidP="00B55440">
      <w:pPr>
        <w:autoSpaceDE w:val="0"/>
        <w:autoSpaceDN w:val="0"/>
        <w:adjustRightInd w:val="0"/>
        <w:spacing w:after="0" w:line="240" w:lineRule="auto"/>
        <w:ind w:left="-284"/>
        <w:jc w:val="both"/>
        <w:rPr>
          <w:rFonts w:ascii="Times New Roman" w:hAnsi="Times New Roman" w:cs="Times New Roman"/>
          <w:sz w:val="24"/>
          <w:szCs w:val="24"/>
          <w:lang w:val="uk-UA"/>
        </w:rPr>
      </w:pPr>
    </w:p>
    <w:p w14:paraId="5C4935B7" w14:textId="77777777" w:rsidR="00DC1E4A" w:rsidRPr="007518F8" w:rsidRDefault="00DC1E4A" w:rsidP="00DC1E4A">
      <w:pPr>
        <w:spacing w:after="0"/>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During negotiations six key directions of the potential project were mentioned:</w:t>
      </w:r>
    </w:p>
    <w:p w14:paraId="7F9EA271"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Continuation of anti-epidemic measures to counter the Covid-19 pandemic; </w:t>
      </w:r>
    </w:p>
    <w:p w14:paraId="03CAB7A6"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Procurement of the vaccine and its distribution among the end users when it becomes available;</w:t>
      </w:r>
    </w:p>
    <w:p w14:paraId="12F412AE"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Information campaign for the population before vaccination;</w:t>
      </w:r>
    </w:p>
    <w:p w14:paraId="387D599B"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Capacity building through medical staff training;</w:t>
      </w:r>
    </w:p>
    <w:p w14:paraId="3BE35238"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Development and implementation of information systems;</w:t>
      </w:r>
    </w:p>
    <w:p w14:paraId="1AD6100E"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Improvement of medical waste management practices.</w:t>
      </w:r>
    </w:p>
    <w:p w14:paraId="2132972B" w14:textId="77777777" w:rsidR="00DC1E4A" w:rsidRPr="007518F8" w:rsidRDefault="00DC1E4A" w:rsidP="00DC1E4A">
      <w:pPr>
        <w:spacing w:after="0"/>
        <w:ind w:left="284"/>
        <w:jc w:val="both"/>
        <w:rPr>
          <w:rFonts w:ascii="Times New Roman" w:eastAsia="Times New Roman" w:hAnsi="Times New Roman" w:cs="Times New Roman"/>
          <w:sz w:val="24"/>
          <w:szCs w:val="24"/>
        </w:rPr>
      </w:pPr>
    </w:p>
    <w:p w14:paraId="2CDE1B4C" w14:textId="2EDB7E2A" w:rsidR="00DC1E4A" w:rsidRPr="007518F8" w:rsidRDefault="00EF2DBD" w:rsidP="00DC1E4A">
      <w:pPr>
        <w:spacing w:after="0"/>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Special </w:t>
      </w:r>
      <w:r w:rsidR="00DC1E4A" w:rsidRPr="007518F8">
        <w:rPr>
          <w:rFonts w:ascii="Times New Roman" w:eastAsia="Times New Roman" w:hAnsi="Times New Roman" w:cs="Times New Roman"/>
          <w:sz w:val="24"/>
          <w:szCs w:val="24"/>
        </w:rPr>
        <w:t>attention by both governmental and nongovernmental organizations-stakeholders was drawn to:</w:t>
      </w:r>
    </w:p>
    <w:p w14:paraId="5FCA01CF"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provision of the cold chain when supplying vaccines; </w:t>
      </w:r>
    </w:p>
    <w:p w14:paraId="63B43BD0"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tests supply and contacts tracing;</w:t>
      </w:r>
    </w:p>
    <w:p w14:paraId="14677DB2"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safe disposal of medical waste; </w:t>
      </w:r>
    </w:p>
    <w:p w14:paraId="614DD50D"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special importance of timely informational campaign and </w:t>
      </w:r>
    </w:p>
    <w:p w14:paraId="01F34731" w14:textId="77777777" w:rsidR="00DC1E4A" w:rsidRPr="007518F8" w:rsidRDefault="00DC1E4A" w:rsidP="00DC1E4A">
      <w:pPr>
        <w:pStyle w:val="a4"/>
        <w:numPr>
          <w:ilvl w:val="0"/>
          <w:numId w:val="3"/>
        </w:numPr>
        <w:spacing w:after="0"/>
        <w:ind w:left="284" w:firstLine="0"/>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medical staff training due to considerable current workload for family doctors.</w:t>
      </w:r>
    </w:p>
    <w:p w14:paraId="6CFED2C1" w14:textId="77777777" w:rsidR="00DC1E4A" w:rsidRPr="007518F8" w:rsidRDefault="00DC1E4A" w:rsidP="00DC1E4A">
      <w:pPr>
        <w:pStyle w:val="a4"/>
        <w:spacing w:after="0"/>
        <w:ind w:left="-284"/>
        <w:jc w:val="both"/>
        <w:rPr>
          <w:rFonts w:ascii="Times New Roman" w:eastAsia="Times New Roman" w:hAnsi="Times New Roman" w:cs="Times New Roman"/>
          <w:sz w:val="24"/>
          <w:szCs w:val="24"/>
        </w:rPr>
      </w:pPr>
    </w:p>
    <w:p w14:paraId="1D175AF3" w14:textId="334EEE18" w:rsidR="00294766" w:rsidRDefault="00294766" w:rsidP="00DC1E4A">
      <w:pPr>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 xml:space="preserve">All comments and suggestions received </w:t>
      </w:r>
      <w:r w:rsidR="00DC1E4A">
        <w:rPr>
          <w:rFonts w:ascii="Times New Roman" w:eastAsia="Times New Roman" w:hAnsi="Times New Roman" w:cs="Times New Roman"/>
          <w:sz w:val="24"/>
          <w:szCs w:val="24"/>
        </w:rPr>
        <w:t>were taken into</w:t>
      </w:r>
      <w:r w:rsidRPr="007518F8">
        <w:rPr>
          <w:rFonts w:ascii="Times New Roman" w:eastAsia="Times New Roman" w:hAnsi="Times New Roman" w:cs="Times New Roman"/>
          <w:sz w:val="24"/>
          <w:szCs w:val="24"/>
        </w:rPr>
        <w:t xml:space="preserve"> consider</w:t>
      </w:r>
      <w:r w:rsidR="00DC1E4A">
        <w:rPr>
          <w:rFonts w:ascii="Times New Roman" w:eastAsia="Times New Roman" w:hAnsi="Times New Roman" w:cs="Times New Roman"/>
          <w:sz w:val="24"/>
          <w:szCs w:val="24"/>
        </w:rPr>
        <w:t>ation</w:t>
      </w:r>
      <w:r w:rsidRPr="007518F8">
        <w:rPr>
          <w:rFonts w:ascii="Times New Roman" w:eastAsia="Times New Roman" w:hAnsi="Times New Roman" w:cs="Times New Roman"/>
          <w:sz w:val="24"/>
          <w:szCs w:val="24"/>
        </w:rPr>
        <w:t xml:space="preserve"> </w:t>
      </w:r>
      <w:r w:rsidR="00DC1E4A">
        <w:rPr>
          <w:rFonts w:ascii="Times New Roman" w:eastAsia="Times New Roman" w:hAnsi="Times New Roman" w:cs="Times New Roman"/>
          <w:sz w:val="24"/>
          <w:szCs w:val="24"/>
        </w:rPr>
        <w:t>for further work</w:t>
      </w:r>
      <w:r w:rsidRPr="007518F8">
        <w:rPr>
          <w:rFonts w:ascii="Times New Roman" w:eastAsia="Times New Roman" w:hAnsi="Times New Roman" w:cs="Times New Roman"/>
          <w:sz w:val="24"/>
          <w:szCs w:val="24"/>
        </w:rPr>
        <w:t>.</w:t>
      </w:r>
      <w:r w:rsidR="00DC1E4A">
        <w:rPr>
          <w:rFonts w:ascii="Times New Roman" w:eastAsia="Times New Roman" w:hAnsi="Times New Roman" w:cs="Times New Roman"/>
          <w:sz w:val="24"/>
          <w:szCs w:val="24"/>
        </w:rPr>
        <w:t xml:space="preserve"> </w:t>
      </w:r>
      <w:r w:rsidRPr="007518F8">
        <w:rPr>
          <w:rFonts w:ascii="Times New Roman" w:eastAsia="Times New Roman" w:hAnsi="Times New Roman" w:cs="Times New Roman"/>
          <w:sz w:val="24"/>
          <w:szCs w:val="24"/>
        </w:rPr>
        <w:t xml:space="preserve">In addition, online questionnaire with few questions about stakeholder`s perception </w:t>
      </w:r>
      <w:r w:rsidR="007E70DE" w:rsidRPr="007518F8">
        <w:rPr>
          <w:rFonts w:ascii="Times New Roman" w:eastAsia="Times New Roman" w:hAnsi="Times New Roman" w:cs="Times New Roman"/>
          <w:sz w:val="24"/>
          <w:szCs w:val="24"/>
        </w:rPr>
        <w:t>of</w:t>
      </w:r>
      <w:r w:rsidRPr="007518F8">
        <w:rPr>
          <w:rFonts w:ascii="Times New Roman" w:eastAsia="Times New Roman" w:hAnsi="Times New Roman" w:cs="Times New Roman"/>
          <w:sz w:val="24"/>
          <w:szCs w:val="24"/>
        </w:rPr>
        <w:t xml:space="preserve"> the potential Project was developed in Google Forms and sent to participants to collect their feedback. Stakeholders’ comments were also analyzed and taken into account.</w:t>
      </w:r>
    </w:p>
    <w:p w14:paraId="2D3F5FA1" w14:textId="7559BDF8" w:rsidR="00176C98" w:rsidRPr="007518F8" w:rsidRDefault="008E28B9" w:rsidP="00A40F96">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8E28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participants were informed that Stakeholders Engagement Plan (SEP) will be prepared in the framework of</w:t>
      </w:r>
      <w:r w:rsidR="00297CE6">
        <w:rPr>
          <w:rFonts w:ascii="Times New Roman" w:eastAsia="Times New Roman" w:hAnsi="Times New Roman" w:cs="Times New Roman"/>
          <w:sz w:val="24"/>
          <w:szCs w:val="24"/>
        </w:rPr>
        <w:t xml:space="preserve"> </w:t>
      </w:r>
      <w:r w:rsidRPr="00B55440">
        <w:rPr>
          <w:rFonts w:ascii="Times New Roman" w:hAnsi="Times New Roman" w:cs="Times New Roman"/>
          <w:sz w:val="24"/>
          <w:szCs w:val="24"/>
          <w:lang w:val="uk-UA"/>
        </w:rPr>
        <w:t>"</w:t>
      </w:r>
      <w:r>
        <w:rPr>
          <w:rFonts w:ascii="Times New Roman" w:hAnsi="Times New Roman" w:cs="Times New Roman"/>
          <w:sz w:val="24"/>
          <w:szCs w:val="24"/>
        </w:rPr>
        <w:t xml:space="preserve">Ukraine </w:t>
      </w:r>
      <w:r w:rsidRPr="00B55440">
        <w:rPr>
          <w:rFonts w:ascii="Times New Roman" w:hAnsi="Times New Roman" w:cs="Times New Roman"/>
          <w:sz w:val="24"/>
          <w:szCs w:val="24"/>
          <w:lang w:val="uk-UA"/>
        </w:rPr>
        <w:t>Emergency Covid-19 response and vaccination in Ukraine</w:t>
      </w:r>
      <w:r>
        <w:rPr>
          <w:rFonts w:ascii="Times New Roman" w:hAnsi="Times New Roman" w:cs="Times New Roman"/>
          <w:sz w:val="24"/>
          <w:szCs w:val="24"/>
        </w:rPr>
        <w:t xml:space="preserve"> Project</w:t>
      </w:r>
      <w:r w:rsidRPr="00B55440">
        <w:rPr>
          <w:rFonts w:ascii="Times New Roman" w:hAnsi="Times New Roman" w:cs="Times New Roman"/>
          <w:sz w:val="24"/>
          <w:szCs w:val="24"/>
          <w:lang w:val="uk-UA"/>
        </w:rPr>
        <w:t>"</w:t>
      </w:r>
      <w:r w:rsidR="00B43D1F">
        <w:rPr>
          <w:rFonts w:ascii="Times New Roman" w:eastAsia="Times New Roman" w:hAnsi="Times New Roman" w:cs="Times New Roman"/>
          <w:sz w:val="24"/>
          <w:szCs w:val="24"/>
        </w:rPr>
        <w:t xml:space="preserve"> preparation. </w:t>
      </w:r>
      <w:r>
        <w:rPr>
          <w:rFonts w:ascii="Times New Roman" w:eastAsia="Times New Roman" w:hAnsi="Times New Roman" w:cs="Times New Roman"/>
          <w:sz w:val="24"/>
          <w:szCs w:val="24"/>
        </w:rPr>
        <w:t>Prior to disclosure of the final version of the SEP</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all participants will be able to get acquainted with a draft of this document</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provide comments/proposals/suggestions</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The</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draft</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SEP</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will</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be</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disclosed</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on</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MOH</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website</w:t>
      </w:r>
      <w:r w:rsidRPr="008E28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and website of Project ‘Serving People Improving Health’</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Moreover,</w:t>
      </w:r>
      <w:r w:rsidR="00A40F96">
        <w:rPr>
          <w:rFonts w:ascii="Times New Roman" w:eastAsia="Times New Roman" w:hAnsi="Times New Roman" w:cs="Times New Roman"/>
          <w:sz w:val="24"/>
          <w:szCs w:val="24"/>
        </w:rPr>
        <w:t xml:space="preserve"> s</w:t>
      </w:r>
      <w:r w:rsidR="00211B87" w:rsidRPr="007518F8">
        <w:rPr>
          <w:rFonts w:ascii="Times New Roman" w:eastAsia="Times New Roman" w:hAnsi="Times New Roman" w:cs="Times New Roman"/>
          <w:sz w:val="24"/>
          <w:szCs w:val="24"/>
        </w:rPr>
        <w:t xml:space="preserve">takeholders may appeal to the </w:t>
      </w:r>
      <w:r w:rsidR="00FD205A" w:rsidRPr="007518F8">
        <w:rPr>
          <w:rFonts w:ascii="Times New Roman" w:eastAsia="Times New Roman" w:hAnsi="Times New Roman" w:cs="Times New Roman"/>
          <w:sz w:val="24"/>
          <w:szCs w:val="24"/>
        </w:rPr>
        <w:t>MOH</w:t>
      </w:r>
      <w:r w:rsidR="00211B87" w:rsidRPr="007518F8">
        <w:rPr>
          <w:rFonts w:ascii="Times New Roman" w:eastAsia="Times New Roman" w:hAnsi="Times New Roman" w:cs="Times New Roman"/>
          <w:sz w:val="24"/>
          <w:szCs w:val="24"/>
        </w:rPr>
        <w:t xml:space="preserve"> with proposals/informational request at all stages of project implementation and their appeal will be responded during 30 days according to the Law “On citizen`s appeals”. </w:t>
      </w:r>
    </w:p>
    <w:p w14:paraId="1C8BDA9C" w14:textId="29D423D0" w:rsidR="000F7AAD" w:rsidRDefault="000F7AAD" w:rsidP="0056303D">
      <w:pPr>
        <w:ind w:left="-284"/>
        <w:rPr>
          <w:rFonts w:ascii="Times New Roman" w:eastAsia="Times New Roman" w:hAnsi="Times New Roman" w:cs="Times New Roman"/>
          <w:sz w:val="24"/>
          <w:szCs w:val="24"/>
        </w:rPr>
      </w:pPr>
    </w:p>
    <w:p w14:paraId="101FC811" w14:textId="77665F19" w:rsidR="003252FF" w:rsidRDefault="003252FF" w:rsidP="003252FF">
      <w:pPr>
        <w:ind w:left="-284"/>
        <w:jc w:val="both"/>
        <w:rPr>
          <w:rFonts w:ascii="Times New Roman" w:eastAsia="Times New Roman" w:hAnsi="Times New Roman" w:cs="Times New Roman"/>
          <w:sz w:val="24"/>
          <w:szCs w:val="24"/>
          <w:lang w:val="uk-UA"/>
        </w:rPr>
      </w:pPr>
      <w:r>
        <w:rPr>
          <w:rFonts w:ascii="Times New Roman" w:eastAsia="Times New Roman" w:hAnsi="Times New Roman" w:cs="Times New Roman"/>
          <w:color w:val="222222"/>
          <w:sz w:val="24"/>
          <w:szCs w:val="24"/>
          <w:lang w:eastAsia="uk-UA"/>
        </w:rPr>
        <w:t>After the first round of consultations</w:t>
      </w:r>
      <w:r>
        <w:rPr>
          <w:rFonts w:ascii="Times New Roman" w:eastAsia="Times New Roman" w:hAnsi="Times New Roman" w:cs="Times New Roman"/>
          <w:color w:val="222222"/>
          <w:sz w:val="24"/>
          <w:szCs w:val="24"/>
          <w:lang w:val="uk-UA" w:eastAsia="uk-UA"/>
        </w:rPr>
        <w:t>,</w:t>
      </w:r>
      <w:r>
        <w:rPr>
          <w:rFonts w:ascii="Times New Roman" w:eastAsia="Times New Roman" w:hAnsi="Times New Roman" w:cs="Times New Roman"/>
          <w:color w:val="222222"/>
          <w:sz w:val="24"/>
          <w:szCs w:val="24"/>
          <w:lang w:eastAsia="uk-UA"/>
        </w:rPr>
        <w:t xml:space="preserve"> on</w:t>
      </w:r>
      <w:r w:rsidRPr="00177FBC">
        <w:rPr>
          <w:rFonts w:ascii="Times New Roman" w:eastAsia="Times New Roman" w:hAnsi="Times New Roman" w:cs="Times New Roman"/>
          <w:color w:val="222222"/>
          <w:sz w:val="24"/>
          <w:szCs w:val="24"/>
          <w:lang w:val="uk-UA" w:eastAsia="uk-UA"/>
        </w:rPr>
        <w:t xml:space="preserve"> 01 </w:t>
      </w:r>
      <w:r>
        <w:rPr>
          <w:rFonts w:ascii="Times New Roman" w:eastAsia="Times New Roman" w:hAnsi="Times New Roman" w:cs="Times New Roman"/>
          <w:color w:val="222222"/>
          <w:sz w:val="24"/>
          <w:szCs w:val="24"/>
          <w:lang w:eastAsia="uk-UA"/>
        </w:rPr>
        <w:t>February</w:t>
      </w:r>
      <w:r w:rsidRPr="00177FBC">
        <w:rPr>
          <w:rFonts w:ascii="Times New Roman" w:eastAsia="Times New Roman" w:hAnsi="Times New Roman" w:cs="Times New Roman"/>
          <w:color w:val="222222"/>
          <w:sz w:val="24"/>
          <w:szCs w:val="24"/>
          <w:lang w:val="uk-UA" w:eastAsia="uk-UA"/>
        </w:rPr>
        <w:t xml:space="preserve"> 2021 </w:t>
      </w:r>
      <w:r w:rsidR="0077232C">
        <w:rPr>
          <w:rFonts w:ascii="Times New Roman" w:eastAsia="Times New Roman" w:hAnsi="Times New Roman" w:cs="Times New Roman"/>
          <w:color w:val="222222"/>
          <w:sz w:val="24"/>
          <w:szCs w:val="24"/>
          <w:lang w:eastAsia="uk-UA"/>
        </w:rPr>
        <w:t>the</w:t>
      </w:r>
      <w:r>
        <w:rPr>
          <w:rFonts w:ascii="Times New Roman" w:eastAsia="Times New Roman" w:hAnsi="Times New Roman" w:cs="Times New Roman"/>
          <w:color w:val="222222"/>
          <w:sz w:val="24"/>
          <w:szCs w:val="24"/>
          <w:lang w:eastAsia="uk-UA"/>
        </w:rPr>
        <w:t xml:space="preserve"> draft SEP was disclosed on the official MOH website and the Project “Serving People Improving Health” website to attention of all stakeholders to enable them to express their comments/proposals/suggestions related to the document</w:t>
      </w:r>
      <w:r>
        <w:rPr>
          <w:rFonts w:ascii="Times New Roman" w:eastAsia="Times New Roman" w:hAnsi="Times New Roman" w:cs="Times New Roman"/>
          <w:color w:val="222222"/>
          <w:sz w:val="24"/>
          <w:szCs w:val="24"/>
          <w:lang w:val="uk-UA" w:eastAsia="uk-UA"/>
        </w:rPr>
        <w:t>.</w:t>
      </w:r>
    </w:p>
    <w:p w14:paraId="7D1C3B29" w14:textId="0694FBC8" w:rsidR="0056303D" w:rsidRPr="007242D0" w:rsidRDefault="0056303D" w:rsidP="0056303D">
      <w:pPr>
        <w:ind w:left="-284"/>
        <w:rPr>
          <w:rFonts w:ascii="Times New Roman" w:hAnsi="Times New Roman" w:cs="Times New Roman"/>
          <w:i/>
          <w:iCs/>
          <w:sz w:val="24"/>
          <w:szCs w:val="24"/>
        </w:rPr>
      </w:pPr>
      <w:r>
        <w:rPr>
          <w:rFonts w:ascii="Times New Roman" w:hAnsi="Times New Roman" w:cs="Times New Roman"/>
          <w:i/>
          <w:iCs/>
          <w:sz w:val="24"/>
          <w:szCs w:val="24"/>
        </w:rPr>
        <w:t>The second round of consultations with stakeholders</w:t>
      </w:r>
    </w:p>
    <w:p w14:paraId="26722510" w14:textId="79E0581E" w:rsidR="00A40F96" w:rsidRDefault="00A40F96" w:rsidP="00A40F96">
      <w:pPr>
        <w:ind w:left="-284"/>
        <w:jc w:val="both"/>
        <w:rPr>
          <w:rFonts w:ascii="Times New Roman" w:eastAsia="Times New Roman" w:hAnsi="Times New Roman" w:cs="Times New Roman"/>
          <w:color w:val="222222"/>
          <w:sz w:val="24"/>
          <w:szCs w:val="24"/>
          <w:lang w:eastAsia="uk-UA"/>
        </w:rPr>
      </w:pPr>
      <w:r w:rsidRPr="00485C59">
        <w:rPr>
          <w:rFonts w:ascii="Times New Roman" w:eastAsia="Times New Roman" w:hAnsi="Times New Roman" w:cs="Times New Roman"/>
          <w:color w:val="222222"/>
          <w:sz w:val="24"/>
          <w:szCs w:val="24"/>
          <w:lang w:eastAsia="uk-UA"/>
        </w:rPr>
        <w:t xml:space="preserve">Due to the COVID-19 restrictions for the public gathering introduced by the Government of Ukraine, </w:t>
      </w:r>
      <w:r>
        <w:rPr>
          <w:rFonts w:ascii="Times New Roman" w:eastAsia="Times New Roman" w:hAnsi="Times New Roman" w:cs="Times New Roman"/>
          <w:color w:val="222222"/>
          <w:sz w:val="24"/>
          <w:szCs w:val="24"/>
          <w:lang w:eastAsia="uk-UA"/>
        </w:rPr>
        <w:t xml:space="preserve">the second round of </w:t>
      </w:r>
      <w:r w:rsidRPr="00485C59">
        <w:rPr>
          <w:rFonts w:ascii="Times New Roman" w:eastAsia="Times New Roman" w:hAnsi="Times New Roman" w:cs="Times New Roman"/>
          <w:color w:val="222222"/>
          <w:sz w:val="24"/>
          <w:szCs w:val="24"/>
          <w:lang w:eastAsia="uk-UA"/>
        </w:rPr>
        <w:t xml:space="preserve">public </w:t>
      </w:r>
      <w:r>
        <w:rPr>
          <w:rFonts w:ascii="Times New Roman" w:eastAsia="Times New Roman" w:hAnsi="Times New Roman" w:cs="Times New Roman"/>
          <w:color w:val="222222"/>
          <w:sz w:val="24"/>
          <w:szCs w:val="24"/>
          <w:lang w:eastAsia="uk-UA"/>
        </w:rPr>
        <w:t>consultations with stakeholders w</w:t>
      </w:r>
      <w:r w:rsidR="00E120D7">
        <w:rPr>
          <w:rFonts w:ascii="Times New Roman" w:eastAsia="Times New Roman" w:hAnsi="Times New Roman" w:cs="Times New Roman"/>
          <w:color w:val="222222"/>
          <w:sz w:val="24"/>
          <w:szCs w:val="24"/>
          <w:lang w:eastAsia="uk-UA"/>
        </w:rPr>
        <w:t>ere</w:t>
      </w:r>
      <w:r>
        <w:rPr>
          <w:rFonts w:ascii="Times New Roman" w:eastAsia="Times New Roman" w:hAnsi="Times New Roman" w:cs="Times New Roman"/>
          <w:color w:val="222222"/>
          <w:sz w:val="24"/>
          <w:szCs w:val="24"/>
          <w:lang w:eastAsia="uk-UA"/>
        </w:rPr>
        <w:t xml:space="preserve"> also</w:t>
      </w:r>
      <w:r w:rsidRPr="00485C59">
        <w:rPr>
          <w:rFonts w:ascii="Times New Roman" w:eastAsia="Times New Roman" w:hAnsi="Times New Roman" w:cs="Times New Roman"/>
          <w:color w:val="222222"/>
          <w:sz w:val="24"/>
          <w:szCs w:val="24"/>
          <w:lang w:eastAsia="uk-UA"/>
        </w:rPr>
        <w:t xml:space="preserve"> organized</w:t>
      </w:r>
      <w:r>
        <w:rPr>
          <w:rFonts w:ascii="Times New Roman" w:eastAsia="Times New Roman" w:hAnsi="Times New Roman" w:cs="Times New Roman"/>
          <w:color w:val="222222"/>
          <w:sz w:val="24"/>
          <w:szCs w:val="24"/>
          <w:lang w:eastAsia="uk-UA"/>
        </w:rPr>
        <w:t xml:space="preserve"> by MOH and PIU</w:t>
      </w:r>
      <w:r w:rsidRPr="00485C59">
        <w:rPr>
          <w:rFonts w:ascii="Times New Roman" w:eastAsia="Times New Roman" w:hAnsi="Times New Roman" w:cs="Times New Roman"/>
          <w:color w:val="222222"/>
          <w:sz w:val="24"/>
          <w:szCs w:val="24"/>
          <w:lang w:eastAsia="uk-UA"/>
        </w:rPr>
        <w:t xml:space="preserve"> virtual</w:t>
      </w:r>
      <w:r>
        <w:rPr>
          <w:rFonts w:ascii="Times New Roman" w:eastAsia="Times New Roman" w:hAnsi="Times New Roman" w:cs="Times New Roman"/>
          <w:color w:val="222222"/>
          <w:sz w:val="24"/>
          <w:szCs w:val="24"/>
          <w:lang w:eastAsia="uk-UA"/>
        </w:rPr>
        <w:t>ly</w:t>
      </w:r>
      <w:r w:rsidRPr="00485C59">
        <w:rPr>
          <w:rFonts w:ascii="Times New Roman" w:eastAsia="Times New Roman" w:hAnsi="Times New Roman" w:cs="Times New Roman"/>
          <w:color w:val="222222"/>
          <w:sz w:val="24"/>
          <w:szCs w:val="24"/>
          <w:lang w:eastAsia="uk-UA"/>
        </w:rPr>
        <w:t xml:space="preserve"> on March 2, 2021</w:t>
      </w:r>
      <w:r>
        <w:rPr>
          <w:rFonts w:ascii="Times New Roman" w:eastAsia="Times New Roman" w:hAnsi="Times New Roman" w:cs="Times New Roman"/>
          <w:color w:val="222222"/>
          <w:sz w:val="24"/>
          <w:szCs w:val="24"/>
          <w:lang w:eastAsia="uk-UA"/>
        </w:rPr>
        <w:t>.</w:t>
      </w:r>
    </w:p>
    <w:p w14:paraId="04049B00" w14:textId="177C7988" w:rsidR="00A40F96" w:rsidRDefault="00A40F96" w:rsidP="00A40F96">
      <w:pPr>
        <w:ind w:left="-284"/>
        <w:jc w:val="both"/>
        <w:rPr>
          <w:rFonts w:ascii="Times New Roman" w:eastAsia="Times New Roman" w:hAnsi="Times New Roman" w:cs="Times New Roman"/>
          <w:color w:val="222222"/>
          <w:sz w:val="24"/>
          <w:szCs w:val="24"/>
          <w:lang w:val="uk-UA" w:eastAsia="uk-UA"/>
        </w:rPr>
      </w:pPr>
      <w:r w:rsidRPr="00485C59">
        <w:rPr>
          <w:rFonts w:ascii="Times New Roman" w:eastAsia="Times New Roman" w:hAnsi="Times New Roman" w:cs="Times New Roman"/>
          <w:color w:val="222222"/>
          <w:sz w:val="24"/>
          <w:szCs w:val="24"/>
          <w:lang w:eastAsia="uk-UA"/>
        </w:rPr>
        <w:t xml:space="preserve">Public consultations with stakeholders were chaired </w:t>
      </w:r>
      <w:r>
        <w:rPr>
          <w:rFonts w:ascii="Times New Roman" w:eastAsia="Times New Roman" w:hAnsi="Times New Roman" w:cs="Times New Roman"/>
          <w:color w:val="222222"/>
          <w:sz w:val="24"/>
          <w:szCs w:val="24"/>
          <w:lang w:eastAsia="uk-UA"/>
        </w:rPr>
        <w:t xml:space="preserve">by </w:t>
      </w:r>
      <w:r w:rsidRPr="00485C59">
        <w:rPr>
          <w:rFonts w:ascii="Times New Roman" w:eastAsia="Times New Roman" w:hAnsi="Times New Roman" w:cs="Times New Roman"/>
          <w:color w:val="222222"/>
          <w:sz w:val="24"/>
          <w:szCs w:val="24"/>
          <w:lang w:eastAsia="uk-UA"/>
        </w:rPr>
        <w:t>the Deputy Minister of Health on 2 March 2021 and a total of 17 participants attended the consultations.</w:t>
      </w:r>
      <w:r w:rsidR="00A86FD6">
        <w:rPr>
          <w:rFonts w:ascii="Times New Roman" w:eastAsia="Times New Roman" w:hAnsi="Times New Roman" w:cs="Times New Roman"/>
          <w:color w:val="222222"/>
          <w:sz w:val="24"/>
          <w:szCs w:val="24"/>
          <w:lang w:eastAsia="uk-UA"/>
        </w:rPr>
        <w:t xml:space="preserve"> </w:t>
      </w:r>
      <w:r w:rsidRPr="00485C59">
        <w:rPr>
          <w:rFonts w:ascii="Times New Roman" w:eastAsia="Times New Roman" w:hAnsi="Times New Roman" w:cs="Times New Roman"/>
          <w:color w:val="222222"/>
          <w:sz w:val="24"/>
          <w:szCs w:val="24"/>
          <w:lang w:eastAsia="uk-UA"/>
        </w:rPr>
        <w:t>During the consultations overall presentation of SEP was introduced to all participants. It included brief information on ‘Ukraine emergency Covid-19 response and vaccination Project’ components</w:t>
      </w:r>
      <w:r>
        <w:rPr>
          <w:rFonts w:ascii="Times New Roman" w:eastAsia="Times New Roman" w:hAnsi="Times New Roman" w:cs="Times New Roman"/>
          <w:color w:val="222222"/>
          <w:sz w:val="24"/>
          <w:szCs w:val="24"/>
          <w:lang w:eastAsia="uk-UA"/>
        </w:rPr>
        <w:t>, namely</w:t>
      </w:r>
      <w:r>
        <w:rPr>
          <w:rFonts w:ascii="Times New Roman" w:eastAsia="Times New Roman" w:hAnsi="Times New Roman" w:cs="Times New Roman"/>
          <w:color w:val="222222"/>
          <w:sz w:val="24"/>
          <w:szCs w:val="24"/>
          <w:lang w:val="uk-UA" w:eastAsia="uk-UA"/>
        </w:rPr>
        <w:t>:</w:t>
      </w:r>
    </w:p>
    <w:p w14:paraId="271E1983" w14:textId="4453C132" w:rsidR="00A40F96" w:rsidRPr="00193A83" w:rsidRDefault="00A40F96" w:rsidP="00A40F96">
      <w:pPr>
        <w:pStyle w:val="a4"/>
        <w:numPr>
          <w:ilvl w:val="0"/>
          <w:numId w:val="15"/>
        </w:numPr>
        <w:spacing w:after="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Component</w:t>
      </w:r>
      <w:r w:rsidRPr="00193A83">
        <w:rPr>
          <w:rFonts w:ascii="Times New Roman" w:eastAsia="Times New Roman" w:hAnsi="Times New Roman" w:cs="Times New Roman"/>
          <w:color w:val="222222"/>
          <w:sz w:val="24"/>
          <w:szCs w:val="24"/>
          <w:lang w:val="uk-UA" w:eastAsia="uk-UA"/>
        </w:rPr>
        <w:t xml:space="preserve"> 1: </w:t>
      </w:r>
      <w:r w:rsidRPr="00A40F96">
        <w:rPr>
          <w:rFonts w:ascii="Times New Roman" w:hAnsi="Times New Roman" w:cs="Times New Roman"/>
          <w:sz w:val="24"/>
          <w:szCs w:val="24"/>
        </w:rPr>
        <w:t>Strengthen public health system for COVID-19 response</w:t>
      </w:r>
    </w:p>
    <w:p w14:paraId="48C58CAF" w14:textId="4A401C57" w:rsidR="00A40F96" w:rsidRPr="00A40F96" w:rsidRDefault="00A40F96" w:rsidP="00A40F96">
      <w:pPr>
        <w:pStyle w:val="a4"/>
        <w:numPr>
          <w:ilvl w:val="0"/>
          <w:numId w:val="3"/>
        </w:numPr>
        <w:spacing w:after="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Subcomponent</w:t>
      </w:r>
      <w:r w:rsidRPr="00193A83">
        <w:rPr>
          <w:rFonts w:ascii="Times New Roman" w:eastAsia="Times New Roman" w:hAnsi="Times New Roman" w:cs="Times New Roman"/>
          <w:color w:val="222222"/>
          <w:sz w:val="24"/>
          <w:szCs w:val="24"/>
          <w:lang w:val="uk-UA" w:eastAsia="uk-UA"/>
        </w:rPr>
        <w:t xml:space="preserve"> 1.1: </w:t>
      </w:r>
      <w:r w:rsidRPr="00A40F96">
        <w:rPr>
          <w:rFonts w:ascii="Times New Roman" w:hAnsi="Times New Roman" w:cs="Times New Roman"/>
          <w:sz w:val="24"/>
          <w:szCs w:val="24"/>
        </w:rPr>
        <w:t>COVID-19 vaccination support</w:t>
      </w:r>
    </w:p>
    <w:p w14:paraId="5DB2E419" w14:textId="555F6017" w:rsidR="00A40F96" w:rsidRPr="00193A83" w:rsidRDefault="00A40F96" w:rsidP="00A40F96">
      <w:pPr>
        <w:pStyle w:val="a4"/>
        <w:numPr>
          <w:ilvl w:val="0"/>
          <w:numId w:val="3"/>
        </w:numPr>
        <w:spacing w:after="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Subcomponent</w:t>
      </w:r>
      <w:r w:rsidRPr="00193A83">
        <w:rPr>
          <w:rFonts w:ascii="Times New Roman" w:eastAsia="Times New Roman" w:hAnsi="Times New Roman" w:cs="Times New Roman"/>
          <w:color w:val="222222"/>
          <w:sz w:val="24"/>
          <w:szCs w:val="24"/>
          <w:lang w:val="uk-UA" w:eastAsia="uk-UA"/>
        </w:rPr>
        <w:t xml:space="preserve"> 1.2</w:t>
      </w:r>
      <w:r w:rsidRPr="00A40F96">
        <w:rPr>
          <w:rFonts w:ascii="Times New Roman" w:eastAsia="Times New Roman" w:hAnsi="Times New Roman" w:cs="Times New Roman"/>
          <w:color w:val="222222"/>
          <w:sz w:val="24"/>
          <w:szCs w:val="24"/>
          <w:lang w:val="uk-UA" w:eastAsia="uk-UA"/>
        </w:rPr>
        <w:t xml:space="preserve">: </w:t>
      </w:r>
      <w:r w:rsidRPr="00A40F96">
        <w:rPr>
          <w:rFonts w:ascii="Times New Roman" w:hAnsi="Times New Roman" w:cs="Times New Roman"/>
          <w:sz w:val="24"/>
          <w:szCs w:val="24"/>
        </w:rPr>
        <w:t>COVID-19 testing</w:t>
      </w:r>
      <w:r w:rsidRPr="00D24516">
        <w:rPr>
          <w:rFonts w:ascii="Times New Roman" w:hAnsi="Times New Roman" w:cs="Times New Roman"/>
          <w:b/>
          <w:bCs/>
          <w:sz w:val="24"/>
          <w:szCs w:val="24"/>
        </w:rPr>
        <w:t xml:space="preserve"> </w:t>
      </w:r>
    </w:p>
    <w:p w14:paraId="32E57AB5" w14:textId="233DFAB8" w:rsidR="00A40F96" w:rsidRPr="00A86FD6" w:rsidRDefault="00A40F96" w:rsidP="00A40F96">
      <w:pPr>
        <w:pStyle w:val="a4"/>
        <w:numPr>
          <w:ilvl w:val="0"/>
          <w:numId w:val="15"/>
        </w:numPr>
        <w:spacing w:after="0"/>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Component</w:t>
      </w:r>
      <w:r w:rsidRPr="00193A83">
        <w:rPr>
          <w:rFonts w:ascii="Times New Roman" w:eastAsia="Times New Roman" w:hAnsi="Times New Roman" w:cs="Times New Roman"/>
          <w:color w:val="222222"/>
          <w:sz w:val="24"/>
          <w:szCs w:val="24"/>
          <w:lang w:val="uk-UA" w:eastAsia="uk-UA"/>
        </w:rPr>
        <w:t xml:space="preserve"> 2: </w:t>
      </w:r>
      <w:r w:rsidRPr="00A86FD6">
        <w:rPr>
          <w:rFonts w:ascii="Times New Roman" w:hAnsi="Times New Roman" w:cs="Times New Roman"/>
          <w:sz w:val="24"/>
          <w:szCs w:val="24"/>
        </w:rPr>
        <w:t>COVID-19 vaccination deployment</w:t>
      </w:r>
    </w:p>
    <w:p w14:paraId="28A1539D" w14:textId="77777777" w:rsidR="00A40F96" w:rsidRPr="00193A83" w:rsidRDefault="00A40F96" w:rsidP="00A40F96">
      <w:pPr>
        <w:pStyle w:val="a4"/>
        <w:spacing w:after="0"/>
        <w:ind w:left="436"/>
        <w:jc w:val="both"/>
        <w:rPr>
          <w:rFonts w:ascii="Times New Roman" w:eastAsia="Times New Roman" w:hAnsi="Times New Roman" w:cs="Times New Roman"/>
          <w:color w:val="222222"/>
          <w:sz w:val="24"/>
          <w:szCs w:val="24"/>
          <w:lang w:val="uk-UA" w:eastAsia="uk-UA"/>
        </w:rPr>
      </w:pPr>
    </w:p>
    <w:p w14:paraId="4EC182C1" w14:textId="687ACA3F" w:rsidR="003252FF" w:rsidRPr="003252FF" w:rsidRDefault="003252FF" w:rsidP="003252FF">
      <w:pPr>
        <w:ind w:left="-284"/>
        <w:jc w:val="both"/>
        <w:rPr>
          <w:rFonts w:ascii="Times New Roman" w:eastAsia="Times New Roman" w:hAnsi="Times New Roman" w:cs="Times New Roman"/>
          <w:color w:val="222222"/>
          <w:sz w:val="24"/>
          <w:szCs w:val="24"/>
          <w:lang w:val="uk-UA" w:eastAsia="uk-UA"/>
        </w:rPr>
      </w:pPr>
      <w:r>
        <w:rPr>
          <w:rFonts w:ascii="Times New Roman" w:eastAsia="Times New Roman" w:hAnsi="Times New Roman" w:cs="Times New Roman"/>
          <w:color w:val="222222"/>
          <w:sz w:val="24"/>
          <w:szCs w:val="24"/>
          <w:lang w:eastAsia="uk-UA"/>
        </w:rPr>
        <w:t>Special</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attention</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of</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the</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presentation</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was</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drawn</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to</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requirements</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of</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new</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ESSs</w:t>
      </w:r>
      <w:r w:rsidRPr="003252FF">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in particular</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ESS</w:t>
      </w:r>
      <w:r w:rsidRPr="003252FF">
        <w:rPr>
          <w:rFonts w:ascii="Times New Roman" w:eastAsia="Times New Roman" w:hAnsi="Times New Roman" w:cs="Times New Roman"/>
          <w:color w:val="222222"/>
          <w:sz w:val="24"/>
          <w:szCs w:val="24"/>
          <w:lang w:val="uk-UA" w:eastAsia="uk-UA"/>
        </w:rPr>
        <w:t>10</w:t>
      </w:r>
      <w:r w:rsidRPr="00177FBC">
        <w:rPr>
          <w:rFonts w:ascii="Times New Roman" w:eastAsia="Times New Roman" w:hAnsi="Times New Roman" w:cs="Times New Roman"/>
          <w:color w:val="222222"/>
          <w:sz w:val="24"/>
          <w:szCs w:val="24"/>
          <w:lang w:val="uk-UA" w:eastAsia="uk-UA"/>
        </w:rPr>
        <w:t>,</w:t>
      </w:r>
      <w:r w:rsidRPr="003252FF">
        <w:rPr>
          <w:rFonts w:ascii="Times New Roman" w:eastAsia="Times New Roman" w:hAnsi="Times New Roman" w:cs="Times New Roman"/>
          <w:color w:val="222222"/>
          <w:sz w:val="24"/>
          <w:szCs w:val="24"/>
          <w:lang w:val="uk-UA" w:eastAsia="uk-UA"/>
        </w:rPr>
        <w:t xml:space="preserve"> </w:t>
      </w:r>
      <w:r w:rsidRPr="00485C59">
        <w:rPr>
          <w:rFonts w:ascii="Times New Roman" w:eastAsia="Times New Roman" w:hAnsi="Times New Roman" w:cs="Times New Roman"/>
          <w:color w:val="222222"/>
          <w:sz w:val="24"/>
          <w:szCs w:val="24"/>
          <w:lang w:eastAsia="uk-UA"/>
        </w:rPr>
        <w:t>stipulating stakeholders’ engagement at each stage of projects implementation and information disclosure</w:t>
      </w:r>
      <w:r>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Stages</w:t>
      </w:r>
      <w:r w:rsidRPr="003252FF">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of</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stakeholders</w:t>
      </w:r>
      <w:r w:rsidR="00A86FD6">
        <w:rPr>
          <w:rFonts w:ascii="Times New Roman" w:eastAsia="Times New Roman" w:hAnsi="Times New Roman" w:cs="Times New Roman"/>
          <w:color w:val="222222"/>
          <w:sz w:val="24"/>
          <w:szCs w:val="24"/>
          <w:lang w:eastAsia="uk-UA"/>
        </w:rPr>
        <w:t>’</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involvement</w:t>
      </w:r>
      <w:r w:rsidR="00A86FD6">
        <w:rPr>
          <w:rFonts w:ascii="Times New Roman" w:eastAsia="Times New Roman" w:hAnsi="Times New Roman" w:cs="Times New Roman"/>
          <w:color w:val="222222"/>
          <w:sz w:val="24"/>
          <w:szCs w:val="24"/>
          <w:lang w:eastAsia="uk-UA"/>
        </w:rPr>
        <w:t xml:space="preserve"> to the Project</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ways</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of</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communication</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with</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stakeholders</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in</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particular</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with</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NGOs</w:t>
      </w:r>
      <w:r w:rsidR="00A86FD6" w:rsidRPr="00A86FD6">
        <w:rPr>
          <w:rFonts w:ascii="Times New Roman" w:eastAsia="Times New Roman" w:hAnsi="Times New Roman" w:cs="Times New Roman"/>
          <w:color w:val="222222"/>
          <w:sz w:val="24"/>
          <w:szCs w:val="24"/>
          <w:lang w:val="uk-UA" w:eastAsia="uk-UA"/>
        </w:rPr>
        <w:t>,</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were</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also</w:t>
      </w:r>
      <w:r w:rsidRPr="003252FF">
        <w:rPr>
          <w:rFonts w:ascii="Times New Roman" w:eastAsia="Times New Roman" w:hAnsi="Times New Roman" w:cs="Times New Roman"/>
          <w:color w:val="222222"/>
          <w:sz w:val="24"/>
          <w:szCs w:val="24"/>
          <w:lang w:val="uk-UA" w:eastAsia="uk-UA"/>
        </w:rPr>
        <w:t xml:space="preserve"> </w:t>
      </w:r>
      <w:r>
        <w:rPr>
          <w:rFonts w:ascii="Times New Roman" w:eastAsia="Times New Roman" w:hAnsi="Times New Roman" w:cs="Times New Roman"/>
          <w:color w:val="222222"/>
          <w:sz w:val="24"/>
          <w:szCs w:val="24"/>
          <w:lang w:eastAsia="uk-UA"/>
        </w:rPr>
        <w:t>introduced</w:t>
      </w:r>
      <w:r w:rsidRPr="003252FF">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in</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the</w:t>
      </w:r>
      <w:r w:rsidR="00A86FD6" w:rsidRPr="00A86FD6">
        <w:rPr>
          <w:rFonts w:ascii="Times New Roman" w:eastAsia="Times New Roman" w:hAnsi="Times New Roman" w:cs="Times New Roman"/>
          <w:color w:val="222222"/>
          <w:sz w:val="24"/>
          <w:szCs w:val="24"/>
          <w:lang w:val="uk-UA" w:eastAsia="uk-UA"/>
        </w:rPr>
        <w:t xml:space="preserve"> </w:t>
      </w:r>
      <w:r w:rsidR="00A86FD6">
        <w:rPr>
          <w:rFonts w:ascii="Times New Roman" w:eastAsia="Times New Roman" w:hAnsi="Times New Roman" w:cs="Times New Roman"/>
          <w:color w:val="222222"/>
          <w:sz w:val="24"/>
          <w:szCs w:val="24"/>
          <w:lang w:eastAsia="uk-UA"/>
        </w:rPr>
        <w:t>presentation</w:t>
      </w:r>
      <w:r w:rsidRPr="00177FBC">
        <w:rPr>
          <w:rFonts w:ascii="Times New Roman" w:eastAsia="Times New Roman" w:hAnsi="Times New Roman" w:cs="Times New Roman"/>
          <w:color w:val="222222"/>
          <w:sz w:val="24"/>
          <w:szCs w:val="24"/>
          <w:lang w:val="uk-UA" w:eastAsia="uk-UA"/>
        </w:rPr>
        <w:t>.</w:t>
      </w:r>
      <w:r w:rsidRPr="003252FF">
        <w:rPr>
          <w:rFonts w:ascii="Times New Roman" w:eastAsia="Times New Roman" w:hAnsi="Times New Roman" w:cs="Times New Roman"/>
          <w:color w:val="222222"/>
          <w:sz w:val="24"/>
          <w:szCs w:val="24"/>
          <w:lang w:val="uk-UA" w:eastAsia="uk-UA"/>
        </w:rPr>
        <w:t xml:space="preserve"> </w:t>
      </w:r>
    </w:p>
    <w:p w14:paraId="7118557C" w14:textId="3D12D5E2" w:rsidR="00DC1E4A" w:rsidRDefault="007242D0" w:rsidP="00DC1E4A">
      <w:pPr>
        <w:shd w:val="clear" w:color="auto" w:fill="FFFFFF"/>
        <w:spacing w:after="0" w:line="276" w:lineRule="auto"/>
        <w:ind w:left="-284"/>
        <w:jc w:val="both"/>
        <w:rPr>
          <w:rFonts w:ascii="Times New Roman" w:eastAsia="Times New Roman" w:hAnsi="Times New Roman" w:cs="Times New Roman"/>
          <w:color w:val="222222"/>
          <w:sz w:val="24"/>
          <w:szCs w:val="24"/>
          <w:lang w:eastAsia="uk-UA"/>
        </w:rPr>
      </w:pPr>
      <w:r w:rsidRPr="00485C59">
        <w:rPr>
          <w:rFonts w:ascii="Times New Roman" w:eastAsia="Times New Roman" w:hAnsi="Times New Roman" w:cs="Times New Roman"/>
          <w:color w:val="222222"/>
          <w:sz w:val="24"/>
          <w:szCs w:val="24"/>
          <w:lang w:eastAsia="uk-UA"/>
        </w:rPr>
        <w:t>It was reiterated that the consultations with Stakeholders will be held regularly during the entire Project cycle. Thus, after disclosure of the final version of SEP on the official MOH website and on the website of the Project ‘Serving people improving health’, SEP still will be a “living document” which may be amended during the whole period of Project implementation upon receiving comments/proposals/suggestions from the stakeholders.</w:t>
      </w:r>
    </w:p>
    <w:p w14:paraId="16A41CC4" w14:textId="30F040A1" w:rsidR="00DC1E4A" w:rsidRDefault="00DC1E4A" w:rsidP="00DC1E4A">
      <w:pPr>
        <w:shd w:val="clear" w:color="auto" w:fill="FFFFFF"/>
        <w:spacing w:after="0" w:line="276" w:lineRule="auto"/>
        <w:ind w:left="-284"/>
        <w:jc w:val="both"/>
        <w:rPr>
          <w:rFonts w:ascii="Times New Roman" w:eastAsia="Times New Roman" w:hAnsi="Times New Roman" w:cs="Times New Roman"/>
          <w:color w:val="222222"/>
          <w:sz w:val="24"/>
          <w:szCs w:val="24"/>
          <w:lang w:eastAsia="uk-UA"/>
        </w:rPr>
      </w:pPr>
    </w:p>
    <w:p w14:paraId="0C9A5C75" w14:textId="77777777" w:rsidR="00A86FD6" w:rsidRDefault="00A86FD6" w:rsidP="00DC1E4A">
      <w:pPr>
        <w:spacing w:after="0"/>
        <w:ind w:left="-284"/>
        <w:jc w:val="both"/>
        <w:rPr>
          <w:rFonts w:ascii="Times New Roman" w:eastAsia="Times New Roman" w:hAnsi="Times New Roman" w:cs="Times New Roman"/>
          <w:sz w:val="24"/>
          <w:szCs w:val="24"/>
        </w:rPr>
      </w:pPr>
    </w:p>
    <w:p w14:paraId="66C55C7F" w14:textId="3D6CFA00" w:rsidR="00DC1E4A" w:rsidRPr="007518F8" w:rsidRDefault="00DC1E4A" w:rsidP="00DC1E4A">
      <w:pPr>
        <w:spacing w:after="0"/>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sz w:val="24"/>
          <w:szCs w:val="24"/>
        </w:rPr>
        <w:t>The analysis of the feedback taken from all stakeholders during</w:t>
      </w:r>
      <w:r w:rsidR="00A86FD6">
        <w:rPr>
          <w:rFonts w:ascii="Times New Roman" w:eastAsia="Times New Roman" w:hAnsi="Times New Roman" w:cs="Times New Roman"/>
          <w:sz w:val="24"/>
          <w:szCs w:val="24"/>
        </w:rPr>
        <w:t xml:space="preserve"> the first and second round of</w:t>
      </w:r>
      <w:r w:rsidRPr="007518F8">
        <w:rPr>
          <w:rFonts w:ascii="Times New Roman" w:eastAsia="Times New Roman" w:hAnsi="Times New Roman" w:cs="Times New Roman"/>
          <w:sz w:val="24"/>
          <w:szCs w:val="24"/>
        </w:rPr>
        <w:t xml:space="preserve"> consultations allows to make a conclusion about positive perception of the potential project </w:t>
      </w:r>
      <w:r w:rsidRPr="007518F8">
        <w:rPr>
          <w:rFonts w:ascii="Times New Roman" w:hAnsi="Times New Roman" w:cs="Times New Roman"/>
          <w:color w:val="222222"/>
          <w:sz w:val="24"/>
          <w:szCs w:val="24"/>
          <w:shd w:val="clear" w:color="auto" w:fill="FFFFFF"/>
        </w:rPr>
        <w:t>'Ukraine Emergency COVID-19</w:t>
      </w:r>
      <w:r>
        <w:rPr>
          <w:rFonts w:ascii="Times New Roman" w:hAnsi="Times New Roman" w:cs="Times New Roman"/>
          <w:color w:val="222222"/>
          <w:sz w:val="24"/>
          <w:szCs w:val="24"/>
          <w:shd w:val="clear" w:color="auto" w:fill="FFFFFF"/>
        </w:rPr>
        <w:t xml:space="preserve"> </w:t>
      </w:r>
      <w:r w:rsidRPr="007518F8">
        <w:rPr>
          <w:rFonts w:ascii="Times New Roman" w:hAnsi="Times New Roman" w:cs="Times New Roman"/>
          <w:color w:val="222222"/>
          <w:sz w:val="24"/>
          <w:szCs w:val="24"/>
          <w:shd w:val="clear" w:color="auto" w:fill="FFFFFF"/>
        </w:rPr>
        <w:t>Response and Vaccination Project</w:t>
      </w:r>
      <w:r w:rsidRPr="007518F8">
        <w:rPr>
          <w:rFonts w:ascii="Times New Roman" w:eastAsia="Times New Roman" w:hAnsi="Times New Roman" w:cs="Times New Roman"/>
          <w:sz w:val="24"/>
          <w:szCs w:val="24"/>
        </w:rPr>
        <w:t xml:space="preserve">’ by stakeholders and about high level of their expectations from its implementation. </w:t>
      </w:r>
    </w:p>
    <w:p w14:paraId="028C9FFA" w14:textId="41945FB6" w:rsidR="00294766" w:rsidRPr="007518F8" w:rsidRDefault="007518F8" w:rsidP="000A41D4">
      <w:pPr>
        <w:pStyle w:val="1"/>
        <w:ind w:left="-284"/>
        <w:rPr>
          <w:rFonts w:cs="Times New Roman"/>
          <w:szCs w:val="24"/>
        </w:rPr>
      </w:pPr>
      <w:bookmarkStart w:id="16" w:name="_Toc65760313"/>
      <w:r w:rsidRPr="007518F8">
        <w:rPr>
          <w:rFonts w:cs="Times New Roman"/>
          <w:szCs w:val="24"/>
        </w:rPr>
        <w:t xml:space="preserve">4. </w:t>
      </w:r>
      <w:r w:rsidR="00B20BDE" w:rsidRPr="007518F8">
        <w:rPr>
          <w:rFonts w:cs="Times New Roman"/>
          <w:szCs w:val="24"/>
        </w:rPr>
        <w:t>Stakeholder engagement program</w:t>
      </w:r>
      <w:bookmarkEnd w:id="16"/>
    </w:p>
    <w:p w14:paraId="67E1EE31" w14:textId="77777777" w:rsidR="00B20BDE" w:rsidRPr="007518F8" w:rsidRDefault="00B20BDE" w:rsidP="000A41D4">
      <w:pPr>
        <w:ind w:left="-284"/>
        <w:rPr>
          <w:rFonts w:ascii="Times New Roman" w:hAnsi="Times New Roman" w:cs="Times New Roman"/>
          <w:sz w:val="24"/>
          <w:szCs w:val="24"/>
        </w:rPr>
      </w:pPr>
    </w:p>
    <w:p w14:paraId="617BCCBB" w14:textId="77777777" w:rsidR="00B20BDE" w:rsidRPr="007518F8" w:rsidRDefault="00B20BDE"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During the implementation stages of the project, stakeholder engagement will be conducted in an ongoing manner and will cater to the components and their respective activities.  Tailored use of participatory instruments and modalities for engagement, feedback and communication will ensure that different beneficiaries’, users’ and stakeholder groups’ views, needs and preferences are taken into account in an easy and accessible manner.</w:t>
      </w:r>
    </w:p>
    <w:p w14:paraId="50B31219" w14:textId="12B39008" w:rsidR="00483292" w:rsidRDefault="00B20BDE" w:rsidP="00483292">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Project recognizes that: face to face interactions, (planned under normal circumstances) are not possible given the nature and spread of COVID-19. So, methods will have to be unique and such as to ensure that stakeholder engagement itself should not be a cause for the spread of virus. Same time, efforts are to be made not only in keeping the stakeholders informed of the project progress but also evince feedback from time to time. Considering these, the project has drawn approaches and methods which are summarized in Table 1. Essentially, given stakeholder groups and the current status, as well as the overall expectations, the project has worked out a variety of approaches - media as well as social networks and opinion leaders. Stakeholder engagement will be held during the entire project period and special attention accorded to poor and vulnerable groups such as women, youth, elderly, female headed households etc. </w:t>
      </w:r>
    </w:p>
    <w:p w14:paraId="5E77C124" w14:textId="1E517133" w:rsidR="00B7553F" w:rsidRPr="007518F8" w:rsidRDefault="00B7553F" w:rsidP="000A41D4">
      <w:pPr>
        <w:ind w:left="-284"/>
        <w:jc w:val="both"/>
        <w:rPr>
          <w:rFonts w:ascii="Times New Roman" w:hAnsi="Times New Roman" w:cs="Times New Roman"/>
          <w:sz w:val="24"/>
          <w:szCs w:val="24"/>
        </w:rPr>
      </w:pPr>
      <w:r w:rsidRPr="00B7553F">
        <w:rPr>
          <w:rFonts w:ascii="Times New Roman" w:hAnsi="Times New Roman" w:cs="Times New Roman"/>
          <w:sz w:val="24"/>
          <w:szCs w:val="24"/>
        </w:rPr>
        <w:t>Table 1. Summary of stakeholder interests, and preferred notification means</w:t>
      </w:r>
    </w:p>
    <w:p w14:paraId="2D543724" w14:textId="6ED7A14E" w:rsidR="0090507F" w:rsidRPr="007518F8" w:rsidRDefault="0090507F" w:rsidP="000A41D4">
      <w:pPr>
        <w:ind w:left="-284"/>
        <w:rPr>
          <w:rFonts w:ascii="Times New Roman" w:hAnsi="Times New Roman" w:cs="Times New Roman"/>
          <w:sz w:val="24"/>
          <w:szCs w:val="24"/>
        </w:rPr>
      </w:pPr>
      <w:r w:rsidRPr="007518F8">
        <w:rPr>
          <w:rFonts w:ascii="Times New Roman" w:hAnsi="Times New Roman" w:cs="Times New Roman"/>
          <w:sz w:val="24"/>
          <w:szCs w:val="24"/>
        </w:rPr>
        <w:br w:type="page"/>
      </w:r>
    </w:p>
    <w:tbl>
      <w:tblPr>
        <w:tblStyle w:val="ac"/>
        <w:tblpPr w:leftFromText="180" w:rightFromText="180" w:vertAnchor="text" w:horzAnchor="margin" w:tblpY="-1132"/>
        <w:tblW w:w="10294" w:type="dxa"/>
        <w:tblLook w:val="04A0" w:firstRow="1" w:lastRow="0" w:firstColumn="1" w:lastColumn="0" w:noHBand="0" w:noVBand="1"/>
      </w:tblPr>
      <w:tblGrid>
        <w:gridCol w:w="1980"/>
        <w:gridCol w:w="1709"/>
        <w:gridCol w:w="1763"/>
        <w:gridCol w:w="1863"/>
        <w:gridCol w:w="2962"/>
        <w:gridCol w:w="17"/>
      </w:tblGrid>
      <w:tr w:rsidR="00D438DE" w:rsidRPr="00316EEC" w14:paraId="0B8B1E67" w14:textId="77777777" w:rsidTr="005E7562">
        <w:trPr>
          <w:gridAfter w:val="1"/>
          <w:wAfter w:w="17" w:type="dxa"/>
        </w:trPr>
        <w:tc>
          <w:tcPr>
            <w:tcW w:w="1980" w:type="dxa"/>
          </w:tcPr>
          <w:p w14:paraId="75D99A25" w14:textId="77777777" w:rsidR="007518F8" w:rsidRPr="00316EEC" w:rsidRDefault="007518F8" w:rsidP="00316EEC">
            <w:pPr>
              <w:ind w:left="142"/>
              <w:rPr>
                <w:rFonts w:ascii="Times New Roman" w:hAnsi="Times New Roman" w:cs="Times New Roman"/>
                <w:b/>
                <w:sz w:val="20"/>
                <w:szCs w:val="20"/>
              </w:rPr>
            </w:pPr>
            <w:r w:rsidRPr="00316EEC">
              <w:rPr>
                <w:rFonts w:ascii="Times New Roman" w:hAnsi="Times New Roman" w:cs="Times New Roman"/>
                <w:b/>
                <w:sz w:val="20"/>
                <w:szCs w:val="20"/>
              </w:rPr>
              <w:t>Stakeholder group</w:t>
            </w:r>
          </w:p>
        </w:tc>
        <w:tc>
          <w:tcPr>
            <w:tcW w:w="1709" w:type="dxa"/>
          </w:tcPr>
          <w:p w14:paraId="37FB77E0" w14:textId="77777777" w:rsidR="007518F8" w:rsidRPr="00316EEC" w:rsidRDefault="007518F8" w:rsidP="00316EEC">
            <w:pPr>
              <w:ind w:left="142"/>
              <w:rPr>
                <w:rFonts w:ascii="Times New Roman" w:hAnsi="Times New Roman" w:cs="Times New Roman"/>
                <w:b/>
                <w:sz w:val="20"/>
                <w:szCs w:val="20"/>
              </w:rPr>
            </w:pPr>
            <w:r w:rsidRPr="00316EEC">
              <w:rPr>
                <w:rFonts w:ascii="Times New Roman" w:hAnsi="Times New Roman" w:cs="Times New Roman"/>
                <w:b/>
                <w:sz w:val="20"/>
                <w:szCs w:val="20"/>
              </w:rPr>
              <w:t>Key characteristics</w:t>
            </w:r>
          </w:p>
        </w:tc>
        <w:tc>
          <w:tcPr>
            <w:tcW w:w="1763" w:type="dxa"/>
          </w:tcPr>
          <w:p w14:paraId="45329EB9" w14:textId="77777777" w:rsidR="007518F8" w:rsidRPr="00316EEC" w:rsidRDefault="007518F8" w:rsidP="00316EEC">
            <w:pPr>
              <w:ind w:left="142"/>
              <w:rPr>
                <w:rFonts w:ascii="Times New Roman" w:hAnsi="Times New Roman" w:cs="Times New Roman"/>
                <w:b/>
                <w:sz w:val="20"/>
                <w:szCs w:val="20"/>
              </w:rPr>
            </w:pPr>
            <w:r w:rsidRPr="00316EEC">
              <w:rPr>
                <w:rFonts w:ascii="Times New Roman" w:hAnsi="Times New Roman" w:cs="Times New Roman"/>
                <w:b/>
                <w:sz w:val="20"/>
                <w:szCs w:val="20"/>
              </w:rPr>
              <w:t>Expectations</w:t>
            </w:r>
          </w:p>
        </w:tc>
        <w:tc>
          <w:tcPr>
            <w:tcW w:w="1863" w:type="dxa"/>
          </w:tcPr>
          <w:p w14:paraId="41FFEA96" w14:textId="77777777" w:rsidR="007518F8" w:rsidRPr="00316EEC" w:rsidRDefault="007518F8" w:rsidP="00316EEC">
            <w:pPr>
              <w:ind w:left="142"/>
              <w:rPr>
                <w:rFonts w:ascii="Times New Roman" w:hAnsi="Times New Roman" w:cs="Times New Roman"/>
                <w:sz w:val="20"/>
                <w:szCs w:val="20"/>
              </w:rPr>
            </w:pPr>
            <w:r w:rsidRPr="00316EEC">
              <w:rPr>
                <w:rFonts w:ascii="Times New Roman" w:hAnsi="Times New Roman" w:cs="Times New Roman"/>
                <w:b/>
                <w:sz w:val="20"/>
                <w:szCs w:val="20"/>
              </w:rPr>
              <w:t>Specific communication needs</w:t>
            </w:r>
            <w:r w:rsidRPr="00316EEC">
              <w:rPr>
                <w:rFonts w:ascii="Times New Roman" w:hAnsi="Times New Roman" w:cs="Times New Roman"/>
                <w:sz w:val="20"/>
                <w:szCs w:val="20"/>
              </w:rPr>
              <w:t xml:space="preserve"> </w:t>
            </w:r>
          </w:p>
        </w:tc>
        <w:tc>
          <w:tcPr>
            <w:tcW w:w="2962" w:type="dxa"/>
          </w:tcPr>
          <w:p w14:paraId="11D74BFF" w14:textId="77777777" w:rsidR="007518F8" w:rsidRPr="00316EEC" w:rsidRDefault="007518F8" w:rsidP="00316EEC">
            <w:pPr>
              <w:ind w:left="142"/>
              <w:rPr>
                <w:rFonts w:ascii="Times New Roman" w:hAnsi="Times New Roman" w:cs="Times New Roman"/>
                <w:b/>
                <w:sz w:val="20"/>
                <w:szCs w:val="20"/>
              </w:rPr>
            </w:pPr>
            <w:r w:rsidRPr="00316EEC">
              <w:rPr>
                <w:rFonts w:ascii="Times New Roman" w:hAnsi="Times New Roman" w:cs="Times New Roman"/>
                <w:b/>
                <w:sz w:val="20"/>
                <w:szCs w:val="20"/>
              </w:rPr>
              <w:t>Engagement method</w:t>
            </w:r>
          </w:p>
        </w:tc>
      </w:tr>
      <w:tr w:rsidR="007518F8" w:rsidRPr="00316EEC" w14:paraId="47C01747" w14:textId="77777777" w:rsidTr="005E7562">
        <w:tc>
          <w:tcPr>
            <w:tcW w:w="10294" w:type="dxa"/>
            <w:gridSpan w:val="6"/>
            <w:shd w:val="clear" w:color="auto" w:fill="D9D9D9" w:themeFill="background1" w:themeFillShade="D9"/>
          </w:tcPr>
          <w:p w14:paraId="731A01B3" w14:textId="77777777" w:rsidR="007518F8" w:rsidRPr="00316EEC" w:rsidRDefault="007518F8" w:rsidP="00316EEC">
            <w:pPr>
              <w:ind w:left="142"/>
              <w:rPr>
                <w:rFonts w:ascii="Times New Roman" w:hAnsi="Times New Roman" w:cs="Times New Roman"/>
                <w:b/>
                <w:sz w:val="20"/>
                <w:szCs w:val="20"/>
              </w:rPr>
            </w:pPr>
            <w:r w:rsidRPr="00316EEC">
              <w:rPr>
                <w:rFonts w:ascii="Times New Roman" w:hAnsi="Times New Roman" w:cs="Times New Roman"/>
                <w:b/>
                <w:sz w:val="20"/>
                <w:szCs w:val="20"/>
              </w:rPr>
              <w:t>Affected parties</w:t>
            </w:r>
          </w:p>
        </w:tc>
      </w:tr>
      <w:tr w:rsidR="00DC3C11" w:rsidRPr="00316EEC" w14:paraId="4E8AAF0A" w14:textId="77777777" w:rsidTr="002348F0">
        <w:trPr>
          <w:gridAfter w:val="1"/>
          <w:wAfter w:w="17" w:type="dxa"/>
          <w:trHeight w:val="3018"/>
        </w:trPr>
        <w:tc>
          <w:tcPr>
            <w:tcW w:w="1980" w:type="dxa"/>
          </w:tcPr>
          <w:p w14:paraId="7F13691B" w14:textId="2BAC87A9" w:rsidR="002348F0" w:rsidRPr="002348F0" w:rsidRDefault="00736F05" w:rsidP="002348F0">
            <w:pPr>
              <w:autoSpaceDE w:val="0"/>
              <w:autoSpaceDN w:val="0"/>
              <w:adjustRightInd w:val="0"/>
              <w:ind w:left="142"/>
              <w:rPr>
                <w:rFonts w:ascii="Times New Roman" w:eastAsia="Times New Roman" w:hAnsi="Times New Roman" w:cs="Times New Roman"/>
                <w:color w:val="222222"/>
                <w:sz w:val="20"/>
                <w:szCs w:val="20"/>
                <w:lang w:eastAsia="ru-RU"/>
              </w:rPr>
            </w:pPr>
            <w:r w:rsidRPr="001B55B4">
              <w:rPr>
                <w:rFonts w:ascii="Times New Roman" w:eastAsia="Times New Roman" w:hAnsi="Times New Roman" w:cs="Times New Roman"/>
                <w:color w:val="222222"/>
                <w:sz w:val="20"/>
                <w:szCs w:val="20"/>
                <w:lang w:eastAsia="ru-RU"/>
              </w:rPr>
              <w:t>Healthcare professionals and staff in health care facilities providing inpatient care to COVID-19 patients and other patients (including primary care, public health workers, etc.).   </w:t>
            </w:r>
          </w:p>
        </w:tc>
        <w:tc>
          <w:tcPr>
            <w:tcW w:w="1709" w:type="dxa"/>
          </w:tcPr>
          <w:p w14:paraId="26B435CF" w14:textId="15E415A9" w:rsidR="00736F05" w:rsidRPr="00316EEC" w:rsidRDefault="00736F05" w:rsidP="00736F0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People who work in medical sector </w:t>
            </w:r>
          </w:p>
        </w:tc>
        <w:tc>
          <w:tcPr>
            <w:tcW w:w="1763" w:type="dxa"/>
          </w:tcPr>
          <w:p w14:paraId="6A1FAA91" w14:textId="77777777" w:rsidR="00736F05" w:rsidRPr="00316EEC" w:rsidRDefault="00736F05" w:rsidP="00736F0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Vaccination</w:t>
            </w:r>
          </w:p>
          <w:p w14:paraId="5BDF6307" w14:textId="77777777" w:rsidR="00736F05" w:rsidRPr="00316EEC" w:rsidRDefault="00736F05" w:rsidP="00736F05">
            <w:pPr>
              <w:autoSpaceDE w:val="0"/>
              <w:autoSpaceDN w:val="0"/>
              <w:adjustRightInd w:val="0"/>
              <w:ind w:left="142"/>
              <w:rPr>
                <w:rFonts w:ascii="Times New Roman" w:hAnsi="Times New Roman" w:cs="Times New Roman"/>
                <w:sz w:val="20"/>
                <w:szCs w:val="20"/>
              </w:rPr>
            </w:pPr>
          </w:p>
          <w:p w14:paraId="6A81098F" w14:textId="23E6E208" w:rsidR="00736F05" w:rsidRPr="00316EEC" w:rsidRDefault="00736F05" w:rsidP="00736F0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Trainings about procedure of vaccination, vaccines handling, medical waste collection and disposal</w:t>
            </w:r>
          </w:p>
        </w:tc>
        <w:tc>
          <w:tcPr>
            <w:tcW w:w="1863" w:type="dxa"/>
          </w:tcPr>
          <w:p w14:paraId="73589819" w14:textId="6B7A0241" w:rsidR="00736F05" w:rsidRPr="00316EEC" w:rsidRDefault="00736F05" w:rsidP="00736F0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During COVID-19 pandemic, medical staff is overloaded and has a heavy schedule of work, which should be taken into consideration when planning trainings.</w:t>
            </w:r>
          </w:p>
        </w:tc>
        <w:tc>
          <w:tcPr>
            <w:tcW w:w="2962" w:type="dxa"/>
          </w:tcPr>
          <w:p w14:paraId="42B55E0A" w14:textId="77777777" w:rsidR="00736F05" w:rsidRPr="00316EEC" w:rsidRDefault="00736F05" w:rsidP="00736F05">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social media; viber/telegram MOH channel Covid-19; contact center MOH on Covid-19. Information provided by local healthcare departments and medical institutions.</w:t>
            </w:r>
          </w:p>
          <w:p w14:paraId="42E58B29" w14:textId="77777777" w:rsidR="00736F05" w:rsidRPr="00316EEC" w:rsidRDefault="00736F05" w:rsidP="00736F05">
            <w:pPr>
              <w:ind w:left="142"/>
              <w:rPr>
                <w:rFonts w:ascii="Times New Roman" w:hAnsi="Times New Roman" w:cs="Times New Roman"/>
                <w:sz w:val="20"/>
                <w:szCs w:val="20"/>
              </w:rPr>
            </w:pPr>
          </w:p>
          <w:p w14:paraId="76517ED1" w14:textId="5AE1A7A7" w:rsidR="00736F05" w:rsidRPr="002348F0" w:rsidRDefault="00736F05" w:rsidP="002348F0">
            <w:pPr>
              <w:ind w:left="142"/>
              <w:rPr>
                <w:rFonts w:ascii="Times New Roman" w:hAnsi="Times New Roman" w:cs="Times New Roman"/>
                <w:sz w:val="20"/>
                <w:szCs w:val="20"/>
              </w:rPr>
            </w:pPr>
            <w:r w:rsidRPr="00316EEC">
              <w:rPr>
                <w:rFonts w:ascii="Times New Roman" w:hAnsi="Times New Roman" w:cs="Times New Roman"/>
                <w:sz w:val="20"/>
                <w:szCs w:val="20"/>
              </w:rPr>
              <w:t>Medical protocols, algorithms</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etc..</w:t>
            </w:r>
          </w:p>
          <w:p w14:paraId="28CFFF87" w14:textId="77777777" w:rsidR="00736F05" w:rsidRDefault="00736F05" w:rsidP="00736F05">
            <w:pPr>
              <w:ind w:left="142"/>
              <w:rPr>
                <w:rFonts w:ascii="Times New Roman" w:hAnsi="Times New Roman" w:cs="Times New Roman"/>
                <w:sz w:val="20"/>
                <w:szCs w:val="20"/>
              </w:rPr>
            </w:pPr>
          </w:p>
        </w:tc>
      </w:tr>
      <w:tr w:rsidR="00DC3C11" w:rsidRPr="00316EEC" w14:paraId="71A00B16" w14:textId="77777777" w:rsidTr="005E7562">
        <w:trPr>
          <w:gridAfter w:val="1"/>
          <w:wAfter w:w="17" w:type="dxa"/>
        </w:trPr>
        <w:tc>
          <w:tcPr>
            <w:tcW w:w="1980" w:type="dxa"/>
          </w:tcPr>
          <w:p w14:paraId="3969FA09" w14:textId="37C78E26" w:rsidR="00AA537D" w:rsidRPr="00DD6418" w:rsidRDefault="00AA537D" w:rsidP="00AA537D">
            <w:pPr>
              <w:autoSpaceDE w:val="0"/>
              <w:autoSpaceDN w:val="0"/>
              <w:adjustRightInd w:val="0"/>
              <w:ind w:left="142"/>
              <w:rPr>
                <w:rFonts w:ascii="Times New Roman" w:hAnsi="Times New Roman" w:cs="Times New Roman"/>
                <w:bCs/>
                <w:sz w:val="20"/>
                <w:szCs w:val="20"/>
              </w:rPr>
            </w:pPr>
            <w:r w:rsidRPr="00DD6418">
              <w:rPr>
                <w:rFonts w:ascii="Times New Roman" w:hAnsi="Times New Roman" w:cs="Times New Roman"/>
                <w:bCs/>
                <w:sz w:val="20"/>
                <w:szCs w:val="20"/>
              </w:rPr>
              <w:t>High risk groups</w:t>
            </w:r>
          </w:p>
        </w:tc>
        <w:tc>
          <w:tcPr>
            <w:tcW w:w="1709" w:type="dxa"/>
          </w:tcPr>
          <w:p w14:paraId="31A9F839" w14:textId="6C127BF6" w:rsidR="00DF3C49" w:rsidRPr="00A25BEC" w:rsidRDefault="0093691E" w:rsidP="00AA537D">
            <w:pPr>
              <w:autoSpaceDE w:val="0"/>
              <w:autoSpaceDN w:val="0"/>
              <w:adjustRightInd w:val="0"/>
              <w:ind w:left="142"/>
              <w:rPr>
                <w:rFonts w:ascii="Times New Roman" w:hAnsi="Times New Roman" w:cs="Times New Roman"/>
                <w:sz w:val="20"/>
                <w:szCs w:val="20"/>
              </w:rPr>
            </w:pPr>
            <w:r w:rsidRPr="0093691E">
              <w:rPr>
                <w:rFonts w:ascii="Times New Roman" w:eastAsia="Times New Roman" w:hAnsi="Times New Roman" w:cs="Times New Roman"/>
                <w:color w:val="222222"/>
                <w:sz w:val="20"/>
                <w:szCs w:val="20"/>
                <w:lang w:eastAsia="ru-RU"/>
              </w:rPr>
              <w:t xml:space="preserve">Residents </w:t>
            </w:r>
            <w:r w:rsidR="00EB0069">
              <w:rPr>
                <w:rFonts w:ascii="Times New Roman" w:eastAsia="Times New Roman" w:hAnsi="Times New Roman" w:cs="Times New Roman"/>
                <w:color w:val="222222"/>
                <w:sz w:val="20"/>
                <w:szCs w:val="20"/>
                <w:lang w:eastAsia="ru-RU"/>
              </w:rPr>
              <w:t>of</w:t>
            </w:r>
            <w:r w:rsidRPr="0093691E">
              <w:rPr>
                <w:rFonts w:ascii="Times New Roman" w:eastAsia="Times New Roman" w:hAnsi="Times New Roman" w:cs="Times New Roman"/>
                <w:color w:val="222222"/>
                <w:sz w:val="20"/>
                <w:szCs w:val="20"/>
                <w:lang w:eastAsia="ru-RU"/>
              </w:rPr>
              <w:t xml:space="preserve"> residential institutions, nursing homes </w:t>
            </w:r>
            <w:r w:rsidRPr="00597E5E">
              <w:rPr>
                <w:rFonts w:ascii="Times New Roman" w:eastAsia="Times New Roman" w:hAnsi="Times New Roman" w:cs="Times New Roman"/>
                <w:color w:val="222222"/>
                <w:sz w:val="20"/>
                <w:szCs w:val="20"/>
                <w:lang w:eastAsia="ru-RU"/>
              </w:rPr>
              <w:t>for the elderly</w:t>
            </w:r>
            <w:r w:rsidR="00DF3C49" w:rsidRPr="00597E5E">
              <w:rPr>
                <w:rStyle w:val="jlqj4b"/>
                <w:rFonts w:ascii="Times New Roman" w:hAnsi="Times New Roman" w:cs="Times New Roman"/>
                <w:color w:val="000000"/>
                <w:sz w:val="20"/>
                <w:szCs w:val="20"/>
                <w:lang w:val="en"/>
              </w:rPr>
              <w:t>; Persons over the age of 80;</w:t>
            </w:r>
            <w:r w:rsidR="00DF3C49" w:rsidRPr="00597E5E">
              <w:rPr>
                <w:rStyle w:val="viiyi"/>
                <w:rFonts w:ascii="Times New Roman" w:hAnsi="Times New Roman" w:cs="Times New Roman"/>
                <w:color w:val="000000"/>
                <w:sz w:val="20"/>
                <w:szCs w:val="20"/>
                <w:lang w:val="en"/>
              </w:rPr>
              <w:t xml:space="preserve"> </w:t>
            </w:r>
            <w:r w:rsidR="00DF3C49" w:rsidRPr="00597E5E">
              <w:rPr>
                <w:rStyle w:val="jlqj4b"/>
                <w:rFonts w:ascii="Times New Roman" w:hAnsi="Times New Roman" w:cs="Times New Roman"/>
                <w:color w:val="000000"/>
                <w:sz w:val="20"/>
                <w:szCs w:val="20"/>
                <w:lang w:val="en"/>
              </w:rPr>
              <w:t>persons aged 70-79 years;</w:t>
            </w:r>
            <w:r w:rsidR="00DF3C49" w:rsidRPr="00597E5E">
              <w:rPr>
                <w:rStyle w:val="viiyi"/>
                <w:rFonts w:ascii="Times New Roman" w:hAnsi="Times New Roman" w:cs="Times New Roman"/>
                <w:color w:val="000000"/>
                <w:sz w:val="20"/>
                <w:szCs w:val="20"/>
                <w:lang w:val="en"/>
              </w:rPr>
              <w:t xml:space="preserve"> </w:t>
            </w:r>
            <w:r w:rsidR="00DF3C49" w:rsidRPr="00597E5E">
              <w:rPr>
                <w:rStyle w:val="jlqj4b"/>
                <w:rFonts w:ascii="Times New Roman" w:hAnsi="Times New Roman" w:cs="Times New Roman"/>
                <w:color w:val="000000"/>
                <w:sz w:val="20"/>
                <w:szCs w:val="20"/>
                <w:lang w:val="en"/>
              </w:rPr>
              <w:t>persons aged 65-69 years;</w:t>
            </w:r>
            <w:r w:rsidR="00DF3C49" w:rsidRPr="00597E5E">
              <w:rPr>
                <w:rStyle w:val="viiyi"/>
                <w:rFonts w:ascii="Times New Roman" w:hAnsi="Times New Roman" w:cs="Times New Roman"/>
                <w:color w:val="000000"/>
                <w:sz w:val="20"/>
                <w:szCs w:val="20"/>
                <w:lang w:val="en"/>
              </w:rPr>
              <w:t xml:space="preserve"> </w:t>
            </w:r>
            <w:r w:rsidR="00DF3C49" w:rsidRPr="00597E5E">
              <w:rPr>
                <w:rStyle w:val="jlqj4b"/>
                <w:rFonts w:ascii="Times New Roman" w:hAnsi="Times New Roman" w:cs="Times New Roman"/>
                <w:color w:val="000000"/>
                <w:sz w:val="20"/>
                <w:szCs w:val="20"/>
                <w:lang w:val="en"/>
              </w:rPr>
              <w:t>persons aged 60-64 years; Individuals (18 to 59 years of age) with comorbidities who are at risk for complications and death due to Covid-19</w:t>
            </w:r>
          </w:p>
        </w:tc>
        <w:tc>
          <w:tcPr>
            <w:tcW w:w="1763" w:type="dxa"/>
          </w:tcPr>
          <w:p w14:paraId="79876AB3" w14:textId="77777777" w:rsidR="00AA537D" w:rsidRPr="00316EEC" w:rsidRDefault="00AA537D" w:rsidP="00AA537D">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Vaccination</w:t>
            </w:r>
          </w:p>
          <w:p w14:paraId="5B1548BC" w14:textId="77777777" w:rsidR="00AA537D" w:rsidRPr="00316EEC" w:rsidRDefault="00AA537D" w:rsidP="00AA537D">
            <w:pPr>
              <w:autoSpaceDE w:val="0"/>
              <w:autoSpaceDN w:val="0"/>
              <w:adjustRightInd w:val="0"/>
              <w:ind w:left="142"/>
              <w:rPr>
                <w:rFonts w:ascii="Times New Roman" w:hAnsi="Times New Roman" w:cs="Times New Roman"/>
                <w:sz w:val="20"/>
                <w:szCs w:val="20"/>
              </w:rPr>
            </w:pPr>
          </w:p>
          <w:p w14:paraId="60A46B16" w14:textId="5A9437BA" w:rsidR="00AA537D" w:rsidRPr="00316EEC" w:rsidRDefault="00AA537D" w:rsidP="00AA537D">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Informational support</w:t>
            </w:r>
          </w:p>
        </w:tc>
        <w:tc>
          <w:tcPr>
            <w:tcW w:w="1863" w:type="dxa"/>
          </w:tcPr>
          <w:p w14:paraId="032AB5D6" w14:textId="77777777" w:rsidR="00AA537D" w:rsidRPr="00316EEC" w:rsidRDefault="00AA537D" w:rsidP="00AA537D">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Elderly people could have limited access to the information and will need specific communication or assistance</w:t>
            </w:r>
          </w:p>
          <w:p w14:paraId="188E8F5D" w14:textId="77777777" w:rsidR="00AA537D" w:rsidRPr="00316EEC" w:rsidRDefault="00AA537D" w:rsidP="00AA537D">
            <w:pPr>
              <w:autoSpaceDE w:val="0"/>
              <w:autoSpaceDN w:val="0"/>
              <w:adjustRightInd w:val="0"/>
              <w:ind w:left="142"/>
              <w:rPr>
                <w:rFonts w:ascii="Times New Roman" w:hAnsi="Times New Roman" w:cs="Times New Roman"/>
                <w:sz w:val="20"/>
                <w:szCs w:val="20"/>
              </w:rPr>
            </w:pPr>
          </w:p>
          <w:p w14:paraId="1EAD16AB" w14:textId="301E943E" w:rsidR="00AA537D" w:rsidRPr="00316EEC" w:rsidRDefault="00AA537D" w:rsidP="00AA537D">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Vulnerable groups could not have enough financial resources for treatment and vaccination. The information regarding the procedure of their vaccination without any expenses should be provided by local departments of social protection and health care institutions </w:t>
            </w:r>
          </w:p>
        </w:tc>
        <w:tc>
          <w:tcPr>
            <w:tcW w:w="2962" w:type="dxa"/>
          </w:tcPr>
          <w:p w14:paraId="714B5245" w14:textId="2029D482" w:rsidR="00AA537D" w:rsidRDefault="00AA537D" w:rsidP="00AA537D">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information from social workers</w:t>
            </w:r>
            <w:r>
              <w:rPr>
                <w:rFonts w:ascii="Times New Roman" w:hAnsi="Times New Roman" w:cs="Times New Roman"/>
                <w:sz w:val="20"/>
                <w:szCs w:val="20"/>
              </w:rPr>
              <w:t xml:space="preserve"> during home visit for elderly and vulnerable groups </w:t>
            </w:r>
            <w:r w:rsidRPr="00316EEC">
              <w:rPr>
                <w:rFonts w:ascii="Times New Roman" w:hAnsi="Times New Roman" w:cs="Times New Roman"/>
                <w:sz w:val="20"/>
                <w:szCs w:val="20"/>
              </w:rPr>
              <w:t>and local departments of social protection, consultations by phone/e-mail with local medical workers; viber/telegram MOH channel Covid-19; contact center MOH on Covid-19.</w:t>
            </w:r>
          </w:p>
        </w:tc>
      </w:tr>
      <w:tr w:rsidR="00DC3C11" w:rsidRPr="00316EEC" w14:paraId="7FEFF830" w14:textId="77777777" w:rsidTr="005E7562">
        <w:trPr>
          <w:gridAfter w:val="1"/>
          <w:wAfter w:w="17" w:type="dxa"/>
        </w:trPr>
        <w:tc>
          <w:tcPr>
            <w:tcW w:w="1980" w:type="dxa"/>
          </w:tcPr>
          <w:p w14:paraId="23D64C18" w14:textId="12994218" w:rsidR="00597E5E" w:rsidRPr="00597E5E" w:rsidRDefault="00A66D4C" w:rsidP="00597E5E">
            <w:pPr>
              <w:autoSpaceDE w:val="0"/>
              <w:autoSpaceDN w:val="0"/>
              <w:adjustRightInd w:val="0"/>
              <w:ind w:left="142"/>
              <w:rPr>
                <w:rFonts w:ascii="Times New Roman" w:hAnsi="Times New Roman" w:cs="Times New Roman"/>
                <w:bCs/>
                <w:sz w:val="20"/>
                <w:szCs w:val="20"/>
              </w:rPr>
            </w:pPr>
            <w:r>
              <w:rPr>
                <w:rFonts w:ascii="Times New Roman" w:eastAsia="Times New Roman" w:hAnsi="Times New Roman" w:cs="Times New Roman"/>
                <w:color w:val="222222"/>
                <w:sz w:val="20"/>
                <w:szCs w:val="20"/>
                <w:lang w:eastAsia="ru-RU"/>
              </w:rPr>
              <w:t xml:space="preserve">Employees </w:t>
            </w:r>
            <w:r w:rsidR="00597E5E" w:rsidRPr="00597E5E">
              <w:rPr>
                <w:rFonts w:ascii="Times New Roman" w:eastAsia="Times New Roman" w:hAnsi="Times New Roman" w:cs="Times New Roman"/>
                <w:color w:val="222222"/>
                <w:sz w:val="20"/>
                <w:szCs w:val="20"/>
                <w:lang w:eastAsia="ru-RU"/>
              </w:rPr>
              <w:t>of residential institutions, nursing homes for the elderly</w:t>
            </w:r>
            <w:r w:rsidR="00AA400B">
              <w:rPr>
                <w:rFonts w:ascii="Times New Roman" w:eastAsia="Times New Roman" w:hAnsi="Times New Roman" w:cs="Times New Roman"/>
                <w:color w:val="222222"/>
                <w:sz w:val="20"/>
                <w:szCs w:val="20"/>
                <w:lang w:eastAsia="ru-RU"/>
              </w:rPr>
              <w:t>, social employees and other employees of social area.</w:t>
            </w:r>
          </w:p>
        </w:tc>
        <w:tc>
          <w:tcPr>
            <w:tcW w:w="1709" w:type="dxa"/>
          </w:tcPr>
          <w:p w14:paraId="6F320D5B" w14:textId="04015AE0" w:rsidR="00597E5E" w:rsidRPr="00316EEC" w:rsidRDefault="00597E5E" w:rsidP="00597E5E">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People who work with vulnerable and high-risk groups </w:t>
            </w:r>
          </w:p>
        </w:tc>
        <w:tc>
          <w:tcPr>
            <w:tcW w:w="1763" w:type="dxa"/>
          </w:tcPr>
          <w:p w14:paraId="6E3757B0" w14:textId="5BA1B174" w:rsidR="00597E5E" w:rsidRPr="00316EEC" w:rsidRDefault="00597E5E" w:rsidP="00597E5E">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Vaccination</w:t>
            </w:r>
          </w:p>
        </w:tc>
        <w:tc>
          <w:tcPr>
            <w:tcW w:w="1863" w:type="dxa"/>
          </w:tcPr>
          <w:p w14:paraId="5C2BF00D" w14:textId="652184DB" w:rsidR="00597E5E" w:rsidRPr="00316EEC" w:rsidRDefault="00597E5E" w:rsidP="00597E5E">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of vaccines and ways of vaccination</w:t>
            </w:r>
          </w:p>
        </w:tc>
        <w:tc>
          <w:tcPr>
            <w:tcW w:w="2962" w:type="dxa"/>
          </w:tcPr>
          <w:p w14:paraId="51F2BDF8" w14:textId="77777777" w:rsidR="00597E5E" w:rsidRPr="00316EEC" w:rsidRDefault="00597E5E" w:rsidP="00597E5E">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social media; viber/telegram MOH channel Covid-19; contact center MOH on Covid-19. Information provided by local social and medical institutions. Provision of information may be updated at the next stages of the Project.</w:t>
            </w:r>
          </w:p>
          <w:p w14:paraId="1CA4F8F8" w14:textId="77777777" w:rsidR="00597E5E" w:rsidRDefault="00597E5E" w:rsidP="00597E5E">
            <w:pPr>
              <w:ind w:left="142"/>
              <w:rPr>
                <w:rFonts w:ascii="Times New Roman" w:hAnsi="Times New Roman" w:cs="Times New Roman"/>
                <w:sz w:val="20"/>
                <w:szCs w:val="20"/>
              </w:rPr>
            </w:pPr>
          </w:p>
        </w:tc>
      </w:tr>
      <w:tr w:rsidR="00D438DE" w:rsidRPr="00316EEC" w14:paraId="51DAD64B" w14:textId="77777777" w:rsidTr="005E7562">
        <w:trPr>
          <w:gridAfter w:val="1"/>
          <w:wAfter w:w="17" w:type="dxa"/>
        </w:trPr>
        <w:tc>
          <w:tcPr>
            <w:tcW w:w="1980" w:type="dxa"/>
          </w:tcPr>
          <w:p w14:paraId="19B1046A" w14:textId="14955F15" w:rsidR="000C6643" w:rsidRPr="00627E51" w:rsidRDefault="000C6643" w:rsidP="000C6643">
            <w:pPr>
              <w:shd w:val="clear" w:color="auto" w:fill="FFFFFF"/>
              <w:ind w:left="164"/>
              <w:jc w:val="both"/>
              <w:rPr>
                <w:rFonts w:ascii="Times New Roman" w:eastAsia="Times New Roman" w:hAnsi="Times New Roman" w:cs="Times New Roman"/>
                <w:color w:val="222222"/>
                <w:sz w:val="20"/>
                <w:szCs w:val="20"/>
                <w:lang w:eastAsia="ru-RU"/>
              </w:rPr>
            </w:pPr>
            <w:r w:rsidRPr="00627E51">
              <w:rPr>
                <w:rFonts w:ascii="Times New Roman" w:eastAsia="Times New Roman" w:hAnsi="Times New Roman" w:cs="Times New Roman"/>
                <w:color w:val="222222"/>
                <w:sz w:val="20"/>
                <w:szCs w:val="20"/>
                <w:lang w:eastAsia="ru-RU"/>
              </w:rPr>
              <w:t>Military personnel participating in the Joint Forces Operation in the Eastern Ukraine.</w:t>
            </w:r>
          </w:p>
          <w:p w14:paraId="20C09FC3" w14:textId="77777777" w:rsidR="001A64CD" w:rsidRPr="00627E51" w:rsidRDefault="001A64CD" w:rsidP="00316EEC">
            <w:pPr>
              <w:autoSpaceDE w:val="0"/>
              <w:autoSpaceDN w:val="0"/>
              <w:adjustRightInd w:val="0"/>
              <w:ind w:left="142"/>
              <w:rPr>
                <w:rFonts w:ascii="Times New Roman" w:hAnsi="Times New Roman" w:cs="Times New Roman"/>
                <w:bCs/>
                <w:sz w:val="20"/>
                <w:szCs w:val="20"/>
              </w:rPr>
            </w:pPr>
          </w:p>
        </w:tc>
        <w:tc>
          <w:tcPr>
            <w:tcW w:w="1709" w:type="dxa"/>
          </w:tcPr>
          <w:p w14:paraId="18BDB23E" w14:textId="23556278" w:rsidR="001A64CD" w:rsidRPr="00627E51" w:rsidRDefault="00627E51" w:rsidP="00316EEC">
            <w:pPr>
              <w:autoSpaceDE w:val="0"/>
              <w:autoSpaceDN w:val="0"/>
              <w:adjustRightInd w:val="0"/>
              <w:ind w:left="142"/>
              <w:rPr>
                <w:rFonts w:ascii="Times New Roman" w:hAnsi="Times New Roman" w:cs="Times New Roman"/>
                <w:sz w:val="20"/>
                <w:szCs w:val="20"/>
              </w:rPr>
            </w:pPr>
            <w:r w:rsidRPr="00627E51">
              <w:rPr>
                <w:rFonts w:ascii="Times New Roman" w:eastAsia="Times New Roman" w:hAnsi="Times New Roman" w:cs="Times New Roman"/>
                <w:color w:val="222222"/>
                <w:sz w:val="20"/>
                <w:szCs w:val="20"/>
                <w:lang w:eastAsia="ru-RU"/>
              </w:rPr>
              <w:t xml:space="preserve">Military personnel of </w:t>
            </w:r>
            <w:r w:rsidR="00174609" w:rsidRPr="00627E51">
              <w:rPr>
                <w:rFonts w:ascii="Times New Roman" w:eastAsia="Times New Roman" w:hAnsi="Times New Roman" w:cs="Times New Roman"/>
                <w:color w:val="222222"/>
                <w:sz w:val="20"/>
                <w:szCs w:val="20"/>
                <w:lang w:eastAsia="ru-RU"/>
              </w:rPr>
              <w:t>Armed Forces of Ukraine and the National Guard of Ukraine</w:t>
            </w:r>
          </w:p>
        </w:tc>
        <w:tc>
          <w:tcPr>
            <w:tcW w:w="1763" w:type="dxa"/>
          </w:tcPr>
          <w:p w14:paraId="406BA30E" w14:textId="73113226" w:rsidR="001A64CD" w:rsidRPr="00627E51" w:rsidRDefault="00627E51"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Vaccination</w:t>
            </w:r>
          </w:p>
        </w:tc>
        <w:tc>
          <w:tcPr>
            <w:tcW w:w="1863" w:type="dxa"/>
          </w:tcPr>
          <w:p w14:paraId="7C5B2234" w14:textId="4A1598BC" w:rsidR="001A64CD" w:rsidRPr="00627E51" w:rsidRDefault="00627E51"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of vaccines and ways of vaccination</w:t>
            </w:r>
          </w:p>
        </w:tc>
        <w:tc>
          <w:tcPr>
            <w:tcW w:w="2962" w:type="dxa"/>
          </w:tcPr>
          <w:p w14:paraId="1A27AC5F" w14:textId="0EEC4DBA" w:rsidR="00B65D18" w:rsidRPr="00316EEC" w:rsidRDefault="00A1068B" w:rsidP="00B65D18">
            <w:pPr>
              <w:ind w:left="142"/>
              <w:rPr>
                <w:rFonts w:ascii="Times New Roman" w:hAnsi="Times New Roman" w:cs="Times New Roman"/>
                <w:sz w:val="20"/>
                <w:szCs w:val="20"/>
              </w:rPr>
            </w:pPr>
            <w:r w:rsidRPr="00BD3761">
              <w:rPr>
                <w:rFonts w:ascii="Times New Roman" w:hAnsi="Times New Roman" w:cs="Times New Roman"/>
                <w:sz w:val="20"/>
                <w:szCs w:val="20"/>
              </w:rPr>
              <w:t xml:space="preserve">Information </w:t>
            </w:r>
            <w:r w:rsidRPr="00316EEC">
              <w:rPr>
                <w:rFonts w:ascii="Times New Roman" w:hAnsi="Times New Roman" w:cs="Times New Roman"/>
                <w:sz w:val="20"/>
                <w:szCs w:val="20"/>
              </w:rPr>
              <w:t>in Media, on official websites,</w:t>
            </w:r>
            <w:r w:rsidR="00B65D18" w:rsidRPr="00316EEC">
              <w:rPr>
                <w:rFonts w:ascii="Times New Roman" w:hAnsi="Times New Roman" w:cs="Times New Roman"/>
                <w:sz w:val="20"/>
                <w:szCs w:val="20"/>
              </w:rPr>
              <w:t xml:space="preserve"> social media; viber/telegram MOH channel Covid-19; contact center MOH on Covid-19. Information provided by </w:t>
            </w:r>
            <w:r w:rsidR="00ED6227">
              <w:rPr>
                <w:rFonts w:ascii="Times New Roman" w:hAnsi="Times New Roman" w:cs="Times New Roman"/>
                <w:sz w:val="20"/>
                <w:szCs w:val="20"/>
              </w:rPr>
              <w:t>the Ministry of Defense</w:t>
            </w:r>
            <w:r w:rsidR="00B65D18" w:rsidRPr="00316EEC">
              <w:rPr>
                <w:rFonts w:ascii="Times New Roman" w:hAnsi="Times New Roman" w:cs="Times New Roman"/>
                <w:sz w:val="20"/>
                <w:szCs w:val="20"/>
              </w:rPr>
              <w:t>. Provision of information may be updated at the next stages of the Project.</w:t>
            </w:r>
          </w:p>
          <w:p w14:paraId="4F3C2817" w14:textId="7F0C7B7F" w:rsidR="001A64CD" w:rsidRPr="00627E51" w:rsidRDefault="001A64CD" w:rsidP="00316EEC">
            <w:pPr>
              <w:ind w:left="142"/>
              <w:rPr>
                <w:rFonts w:ascii="Times New Roman" w:hAnsi="Times New Roman" w:cs="Times New Roman"/>
                <w:sz w:val="20"/>
                <w:szCs w:val="20"/>
              </w:rPr>
            </w:pPr>
          </w:p>
        </w:tc>
      </w:tr>
      <w:tr w:rsidR="003B6285" w:rsidRPr="00316EEC" w14:paraId="02DC4554" w14:textId="77777777" w:rsidTr="005E7562">
        <w:trPr>
          <w:gridAfter w:val="1"/>
          <w:wAfter w:w="17" w:type="dxa"/>
        </w:trPr>
        <w:tc>
          <w:tcPr>
            <w:tcW w:w="1980" w:type="dxa"/>
          </w:tcPr>
          <w:p w14:paraId="535BD037" w14:textId="2418C442" w:rsidR="003B6285" w:rsidRPr="00DC3C11" w:rsidRDefault="003B6285" w:rsidP="003B6285">
            <w:pPr>
              <w:autoSpaceDE w:val="0"/>
              <w:autoSpaceDN w:val="0"/>
              <w:adjustRightInd w:val="0"/>
              <w:ind w:left="142"/>
              <w:rPr>
                <w:rFonts w:ascii="Times New Roman" w:hAnsi="Times New Roman" w:cs="Times New Roman"/>
                <w:bCs/>
                <w:sz w:val="20"/>
                <w:szCs w:val="20"/>
              </w:rPr>
            </w:pPr>
            <w:r>
              <w:rPr>
                <w:rFonts w:ascii="Times New Roman" w:hAnsi="Times New Roman" w:cs="Times New Roman"/>
                <w:bCs/>
                <w:sz w:val="20"/>
                <w:szCs w:val="20"/>
              </w:rPr>
              <w:t>Employees of critically important state security structures</w:t>
            </w:r>
          </w:p>
        </w:tc>
        <w:tc>
          <w:tcPr>
            <w:tcW w:w="1709" w:type="dxa"/>
          </w:tcPr>
          <w:p w14:paraId="044FA713" w14:textId="55BC2801" w:rsidR="003B6285" w:rsidRPr="00DC3C11" w:rsidRDefault="003B6285" w:rsidP="003B6285">
            <w:pPr>
              <w:autoSpaceDE w:val="0"/>
              <w:autoSpaceDN w:val="0"/>
              <w:adjustRightInd w:val="0"/>
              <w:ind w:left="142"/>
              <w:rPr>
                <w:rFonts w:ascii="Times New Roman" w:hAnsi="Times New Roman" w:cs="Times New Roman"/>
                <w:sz w:val="20"/>
                <w:szCs w:val="20"/>
              </w:rPr>
            </w:pPr>
            <w:r w:rsidRPr="00A854A2">
              <w:rPr>
                <w:rFonts w:ascii="Times New Roman" w:hAnsi="Times New Roman" w:cs="Times New Roman"/>
                <w:sz w:val="20"/>
                <w:szCs w:val="20"/>
              </w:rPr>
              <w:t>Employees of critica</w:t>
            </w:r>
            <w:r>
              <w:rPr>
                <w:rFonts w:ascii="Times New Roman" w:hAnsi="Times New Roman" w:cs="Times New Roman"/>
                <w:sz w:val="20"/>
                <w:szCs w:val="20"/>
              </w:rPr>
              <w:t>l</w:t>
            </w:r>
            <w:r w:rsidRPr="00A854A2">
              <w:rPr>
                <w:rFonts w:ascii="Times New Roman" w:hAnsi="Times New Roman" w:cs="Times New Roman"/>
                <w:sz w:val="20"/>
                <w:szCs w:val="20"/>
              </w:rPr>
              <w:t>l</w:t>
            </w:r>
            <w:r>
              <w:rPr>
                <w:rFonts w:ascii="Times New Roman" w:hAnsi="Times New Roman" w:cs="Times New Roman"/>
                <w:sz w:val="20"/>
                <w:szCs w:val="20"/>
              </w:rPr>
              <w:t>y important</w:t>
            </w:r>
            <w:r w:rsidRPr="00A854A2">
              <w:rPr>
                <w:rFonts w:ascii="Times New Roman" w:hAnsi="Times New Roman" w:cs="Times New Roman"/>
                <w:sz w:val="20"/>
                <w:szCs w:val="20"/>
              </w:rPr>
              <w:t xml:space="preserve"> state security structures, including the State Emergency Service of Ukraine, the National Police of Ukraine, the National Guard of Ukraine, the Security Service of Ukraine, servicemen of the Armed Forces of Ukraine, and the Ministry of Internal Affairs of Ukraine.</w:t>
            </w:r>
          </w:p>
        </w:tc>
        <w:tc>
          <w:tcPr>
            <w:tcW w:w="1763" w:type="dxa"/>
          </w:tcPr>
          <w:p w14:paraId="7EC93640" w14:textId="36287371" w:rsidR="003B6285" w:rsidRPr="00316EEC" w:rsidRDefault="003B6285" w:rsidP="003B628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Vaccination</w:t>
            </w:r>
          </w:p>
        </w:tc>
        <w:tc>
          <w:tcPr>
            <w:tcW w:w="1863" w:type="dxa"/>
          </w:tcPr>
          <w:p w14:paraId="083337DB" w14:textId="48E186AC" w:rsidR="003B6285" w:rsidRPr="00316EEC" w:rsidRDefault="003B6285" w:rsidP="003B628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of vaccines and ways of vaccination</w:t>
            </w:r>
          </w:p>
        </w:tc>
        <w:tc>
          <w:tcPr>
            <w:tcW w:w="2962" w:type="dxa"/>
          </w:tcPr>
          <w:p w14:paraId="2FF270C0" w14:textId="2EC96AF0" w:rsidR="003B6285" w:rsidRDefault="003B6285" w:rsidP="003B6285">
            <w:pPr>
              <w:ind w:left="142"/>
              <w:rPr>
                <w:rFonts w:ascii="Times New Roman" w:hAnsi="Times New Roman" w:cs="Times New Roman"/>
                <w:sz w:val="20"/>
                <w:szCs w:val="20"/>
              </w:rPr>
            </w:pPr>
            <w:r w:rsidRPr="00BD3761">
              <w:rPr>
                <w:rFonts w:ascii="Times New Roman" w:hAnsi="Times New Roman" w:cs="Times New Roman"/>
                <w:sz w:val="20"/>
                <w:szCs w:val="20"/>
              </w:rPr>
              <w:t xml:space="preserve">Information </w:t>
            </w:r>
            <w:r w:rsidRPr="00316EEC">
              <w:rPr>
                <w:rFonts w:ascii="Times New Roman" w:hAnsi="Times New Roman" w:cs="Times New Roman"/>
                <w:sz w:val="20"/>
                <w:szCs w:val="20"/>
              </w:rPr>
              <w:t>in Media, on official websites, social media; viber/telegram MOH channel Covid-19; contact center MOH on Covid-19. Information provided by</w:t>
            </w:r>
            <w:r w:rsidR="002534A9">
              <w:rPr>
                <w:rFonts w:ascii="Times New Roman" w:hAnsi="Times New Roman" w:cs="Times New Roman"/>
                <w:sz w:val="20"/>
                <w:szCs w:val="20"/>
              </w:rPr>
              <w:t xml:space="preserve"> </w:t>
            </w:r>
            <w:r w:rsidR="007C0F24">
              <w:rPr>
                <w:rFonts w:ascii="Times New Roman" w:hAnsi="Times New Roman" w:cs="Times New Roman"/>
                <w:sz w:val="20"/>
                <w:szCs w:val="20"/>
              </w:rPr>
              <w:t>field-specific</w:t>
            </w:r>
            <w:r w:rsidR="002534A9">
              <w:rPr>
                <w:rFonts w:ascii="Times New Roman" w:hAnsi="Times New Roman" w:cs="Times New Roman"/>
                <w:sz w:val="20"/>
                <w:szCs w:val="20"/>
              </w:rPr>
              <w:t xml:space="preserve"> structures</w:t>
            </w:r>
            <w:r w:rsidRPr="00316EEC">
              <w:rPr>
                <w:rFonts w:ascii="Times New Roman" w:hAnsi="Times New Roman" w:cs="Times New Roman"/>
                <w:sz w:val="20"/>
                <w:szCs w:val="20"/>
              </w:rPr>
              <w:t>. Provision of information may be updated at the next stages of the Project</w:t>
            </w:r>
            <w:r w:rsidR="00D928B0">
              <w:rPr>
                <w:rFonts w:ascii="Times New Roman" w:hAnsi="Times New Roman" w:cs="Times New Roman"/>
                <w:sz w:val="20"/>
                <w:szCs w:val="20"/>
              </w:rPr>
              <w:t>.</w:t>
            </w:r>
          </w:p>
        </w:tc>
      </w:tr>
      <w:tr w:rsidR="009F5E35" w:rsidRPr="00316EEC" w14:paraId="50F5353A" w14:textId="77777777" w:rsidTr="005E7562">
        <w:trPr>
          <w:gridAfter w:val="1"/>
          <w:wAfter w:w="17" w:type="dxa"/>
        </w:trPr>
        <w:tc>
          <w:tcPr>
            <w:tcW w:w="1980" w:type="dxa"/>
          </w:tcPr>
          <w:p w14:paraId="42DA535F" w14:textId="477F0B00" w:rsidR="009F5E35" w:rsidRPr="009F5E35" w:rsidRDefault="009F5E35" w:rsidP="009F5E35">
            <w:pPr>
              <w:autoSpaceDE w:val="0"/>
              <w:autoSpaceDN w:val="0"/>
              <w:adjustRightInd w:val="0"/>
              <w:ind w:firstLine="22"/>
              <w:rPr>
                <w:rFonts w:ascii="Times New Roman" w:hAnsi="Times New Roman" w:cs="Times New Roman"/>
                <w:bCs/>
                <w:sz w:val="20"/>
                <w:szCs w:val="20"/>
              </w:rPr>
            </w:pPr>
            <w:r w:rsidRPr="009F5E35">
              <w:rPr>
                <w:rFonts w:ascii="Times New Roman" w:eastAsia="Times New Roman" w:hAnsi="Times New Roman" w:cs="Times New Roman"/>
                <w:color w:val="222222"/>
                <w:sz w:val="20"/>
                <w:szCs w:val="20"/>
                <w:lang w:eastAsia="ru-RU"/>
              </w:rPr>
              <w:t>Teachers and other education sector workers</w:t>
            </w:r>
          </w:p>
        </w:tc>
        <w:tc>
          <w:tcPr>
            <w:tcW w:w="1709" w:type="dxa"/>
          </w:tcPr>
          <w:p w14:paraId="4CBD3675" w14:textId="65B6A607" w:rsidR="009F5E35" w:rsidRPr="009F5E35" w:rsidRDefault="009F5E35" w:rsidP="009F5E35">
            <w:pPr>
              <w:autoSpaceDE w:val="0"/>
              <w:autoSpaceDN w:val="0"/>
              <w:adjustRightInd w:val="0"/>
              <w:ind w:left="142"/>
              <w:rPr>
                <w:rFonts w:ascii="Times New Roman" w:hAnsi="Times New Roman" w:cs="Times New Roman"/>
                <w:sz w:val="20"/>
                <w:szCs w:val="20"/>
              </w:rPr>
            </w:pPr>
            <w:r w:rsidRPr="009F5E35">
              <w:rPr>
                <w:rFonts w:ascii="Times New Roman" w:hAnsi="Times New Roman" w:cs="Times New Roman"/>
                <w:sz w:val="20"/>
                <w:szCs w:val="20"/>
              </w:rPr>
              <w:t>People who work in educational sector</w:t>
            </w:r>
          </w:p>
        </w:tc>
        <w:tc>
          <w:tcPr>
            <w:tcW w:w="1763" w:type="dxa"/>
          </w:tcPr>
          <w:p w14:paraId="11DF0345" w14:textId="2B0C4AF0" w:rsidR="009F5E35" w:rsidRPr="00316EEC" w:rsidRDefault="009F5E35" w:rsidP="009F5E3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Vaccination</w:t>
            </w:r>
          </w:p>
        </w:tc>
        <w:tc>
          <w:tcPr>
            <w:tcW w:w="1863" w:type="dxa"/>
          </w:tcPr>
          <w:p w14:paraId="338D1C99" w14:textId="11A39E59" w:rsidR="009F5E35" w:rsidRPr="00316EEC" w:rsidRDefault="009F5E35" w:rsidP="009F5E35">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of vaccines and ways of vaccination</w:t>
            </w:r>
          </w:p>
        </w:tc>
        <w:tc>
          <w:tcPr>
            <w:tcW w:w="2962" w:type="dxa"/>
          </w:tcPr>
          <w:p w14:paraId="4CFE88E9" w14:textId="77777777" w:rsidR="009F5E35" w:rsidRPr="00316EEC" w:rsidRDefault="009F5E35" w:rsidP="009F5E35">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social media; viber/telegram MOH channel Covid-19; contact center MOH on Covid-19. Information provided by local educational and medical institutions. Provision of information may be updated at the next stages of the Project.</w:t>
            </w:r>
          </w:p>
          <w:p w14:paraId="478EEBB4" w14:textId="77777777" w:rsidR="009F5E35" w:rsidRDefault="009F5E35" w:rsidP="009F5E35">
            <w:pPr>
              <w:ind w:left="142"/>
              <w:rPr>
                <w:rFonts w:ascii="Times New Roman" w:hAnsi="Times New Roman" w:cs="Times New Roman"/>
                <w:sz w:val="20"/>
                <w:szCs w:val="20"/>
              </w:rPr>
            </w:pPr>
          </w:p>
        </w:tc>
      </w:tr>
      <w:tr w:rsidR="00A139B6" w:rsidRPr="00316EEC" w14:paraId="5ACC19A1" w14:textId="77777777" w:rsidTr="005E7562">
        <w:trPr>
          <w:gridAfter w:val="1"/>
          <w:wAfter w:w="17" w:type="dxa"/>
        </w:trPr>
        <w:tc>
          <w:tcPr>
            <w:tcW w:w="1980" w:type="dxa"/>
          </w:tcPr>
          <w:p w14:paraId="37F7579E" w14:textId="13ED681C" w:rsidR="00A139B6" w:rsidRPr="00A139B6" w:rsidRDefault="00A139B6" w:rsidP="00A139B6">
            <w:pPr>
              <w:shd w:val="clear" w:color="auto" w:fill="FFFFFF"/>
              <w:jc w:val="both"/>
              <w:rPr>
                <w:rFonts w:ascii="Arial" w:eastAsia="Times New Roman" w:hAnsi="Arial" w:cs="Arial"/>
                <w:color w:val="222222"/>
                <w:sz w:val="20"/>
                <w:szCs w:val="20"/>
                <w:lang w:eastAsia="ru-RU"/>
              </w:rPr>
            </w:pPr>
            <w:r w:rsidRPr="00A139B6">
              <w:rPr>
                <w:rFonts w:ascii="Times New Roman" w:eastAsia="Times New Roman" w:hAnsi="Times New Roman" w:cs="Times New Roman"/>
                <w:color w:val="222222"/>
                <w:sz w:val="20"/>
                <w:szCs w:val="20"/>
                <w:lang w:eastAsia="ru-RU"/>
              </w:rPr>
              <w:t>Residents of detention facilities and employees of detention facilities</w:t>
            </w:r>
            <w:r w:rsidR="00CA08FB">
              <w:rPr>
                <w:rFonts w:ascii="Times New Roman" w:eastAsia="Times New Roman" w:hAnsi="Times New Roman" w:cs="Times New Roman"/>
                <w:color w:val="222222"/>
                <w:sz w:val="20"/>
                <w:szCs w:val="20"/>
                <w:lang w:eastAsia="ru-RU"/>
              </w:rPr>
              <w:t>.</w:t>
            </w:r>
          </w:p>
          <w:p w14:paraId="2224C7F8" w14:textId="77777777" w:rsidR="00A139B6" w:rsidRPr="00A139B6" w:rsidRDefault="00A139B6" w:rsidP="00A139B6">
            <w:pPr>
              <w:autoSpaceDE w:val="0"/>
              <w:autoSpaceDN w:val="0"/>
              <w:adjustRightInd w:val="0"/>
              <w:ind w:left="142"/>
              <w:rPr>
                <w:rFonts w:ascii="Times New Roman" w:hAnsi="Times New Roman" w:cs="Times New Roman"/>
                <w:bCs/>
                <w:sz w:val="20"/>
                <w:szCs w:val="20"/>
              </w:rPr>
            </w:pPr>
          </w:p>
        </w:tc>
        <w:tc>
          <w:tcPr>
            <w:tcW w:w="1709" w:type="dxa"/>
          </w:tcPr>
          <w:p w14:paraId="78184B42" w14:textId="7BFCC444" w:rsidR="00A139B6" w:rsidRPr="00A139B6" w:rsidRDefault="00A139B6" w:rsidP="00A139B6">
            <w:pPr>
              <w:autoSpaceDE w:val="0"/>
              <w:autoSpaceDN w:val="0"/>
              <w:adjustRightInd w:val="0"/>
              <w:ind w:left="142"/>
              <w:rPr>
                <w:rFonts w:ascii="Times New Roman" w:hAnsi="Times New Roman" w:cs="Times New Roman"/>
                <w:sz w:val="20"/>
                <w:szCs w:val="20"/>
              </w:rPr>
            </w:pPr>
            <w:r w:rsidRPr="00A139B6">
              <w:rPr>
                <w:rFonts w:ascii="Times New Roman" w:eastAsia="Times New Roman" w:hAnsi="Times New Roman" w:cs="Times New Roman"/>
                <w:color w:val="222222"/>
                <w:sz w:val="20"/>
                <w:szCs w:val="20"/>
                <w:lang w:eastAsia="ru-RU"/>
              </w:rPr>
              <w:t>Residents of detention facilities and/or pretrial detention centers and employees of detention facilities, pretrial detention centers</w:t>
            </w:r>
          </w:p>
        </w:tc>
        <w:tc>
          <w:tcPr>
            <w:tcW w:w="1763" w:type="dxa"/>
          </w:tcPr>
          <w:p w14:paraId="570C1ED5" w14:textId="6B0E6DF2" w:rsidR="00A139B6" w:rsidRPr="00A139B6" w:rsidRDefault="00A139B6" w:rsidP="00A139B6">
            <w:pPr>
              <w:autoSpaceDE w:val="0"/>
              <w:autoSpaceDN w:val="0"/>
              <w:adjustRightInd w:val="0"/>
              <w:ind w:left="142"/>
              <w:rPr>
                <w:rFonts w:ascii="Times New Roman" w:hAnsi="Times New Roman" w:cs="Times New Roman"/>
                <w:sz w:val="20"/>
                <w:szCs w:val="20"/>
              </w:rPr>
            </w:pPr>
            <w:r w:rsidRPr="00A139B6">
              <w:rPr>
                <w:rFonts w:ascii="Times New Roman" w:hAnsi="Times New Roman" w:cs="Times New Roman"/>
                <w:sz w:val="20"/>
                <w:szCs w:val="20"/>
              </w:rPr>
              <w:t>Vaccination</w:t>
            </w:r>
          </w:p>
        </w:tc>
        <w:tc>
          <w:tcPr>
            <w:tcW w:w="1863" w:type="dxa"/>
          </w:tcPr>
          <w:p w14:paraId="0707B4F6" w14:textId="239CC631" w:rsidR="00A139B6" w:rsidRPr="00A139B6" w:rsidRDefault="00A139B6" w:rsidP="00A139B6">
            <w:pPr>
              <w:autoSpaceDE w:val="0"/>
              <w:autoSpaceDN w:val="0"/>
              <w:adjustRightInd w:val="0"/>
              <w:ind w:left="142"/>
              <w:rPr>
                <w:rFonts w:ascii="Times New Roman" w:hAnsi="Times New Roman" w:cs="Times New Roman"/>
                <w:sz w:val="20"/>
                <w:szCs w:val="20"/>
              </w:rPr>
            </w:pPr>
            <w:r w:rsidRPr="00A139B6">
              <w:rPr>
                <w:rFonts w:ascii="Times New Roman" w:hAnsi="Times New Roman" w:cs="Times New Roman"/>
                <w:sz w:val="20"/>
                <w:szCs w:val="20"/>
              </w:rPr>
              <w:t>Information of vaccines and ways of vaccination</w:t>
            </w:r>
          </w:p>
        </w:tc>
        <w:tc>
          <w:tcPr>
            <w:tcW w:w="2962" w:type="dxa"/>
          </w:tcPr>
          <w:p w14:paraId="506C0138" w14:textId="77777777" w:rsidR="00A139B6" w:rsidRPr="00A139B6" w:rsidRDefault="00A139B6" w:rsidP="00A139B6">
            <w:pPr>
              <w:ind w:left="142"/>
              <w:rPr>
                <w:rFonts w:ascii="Times New Roman" w:hAnsi="Times New Roman" w:cs="Times New Roman"/>
                <w:sz w:val="20"/>
                <w:szCs w:val="20"/>
              </w:rPr>
            </w:pPr>
            <w:r w:rsidRPr="00A139B6">
              <w:rPr>
                <w:rFonts w:ascii="Times New Roman" w:hAnsi="Times New Roman" w:cs="Times New Roman"/>
                <w:sz w:val="20"/>
                <w:szCs w:val="20"/>
              </w:rPr>
              <w:t>Communication materials in local languages for information outreach such as information in Media; on official websites; social media; viber/telegram MOH channel Covid-19; contact center MOH on Covid-19. Information provided by local educational and medical institutions. Provision of information may be updated at the next stages of the Project.</w:t>
            </w:r>
          </w:p>
          <w:p w14:paraId="4DB60434" w14:textId="77777777" w:rsidR="00A139B6" w:rsidRPr="00A139B6" w:rsidRDefault="00A139B6" w:rsidP="00A139B6">
            <w:pPr>
              <w:ind w:left="142"/>
              <w:rPr>
                <w:rFonts w:ascii="Times New Roman" w:hAnsi="Times New Roman" w:cs="Times New Roman"/>
                <w:sz w:val="20"/>
                <w:szCs w:val="20"/>
              </w:rPr>
            </w:pPr>
          </w:p>
        </w:tc>
      </w:tr>
      <w:tr w:rsidR="00D438DE" w:rsidRPr="00316EEC" w14:paraId="70A8D721" w14:textId="77777777" w:rsidTr="005E7562">
        <w:trPr>
          <w:gridAfter w:val="1"/>
          <w:wAfter w:w="17" w:type="dxa"/>
        </w:trPr>
        <w:tc>
          <w:tcPr>
            <w:tcW w:w="1980" w:type="dxa"/>
          </w:tcPr>
          <w:p w14:paraId="2F49E452"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COVID-19</w:t>
            </w:r>
          </w:p>
          <w:p w14:paraId="40C8FC59" w14:textId="77777777" w:rsidR="007518F8" w:rsidRPr="00316EEC" w:rsidRDefault="007518F8" w:rsidP="00316EEC">
            <w:pPr>
              <w:ind w:left="142"/>
              <w:rPr>
                <w:rFonts w:ascii="Times New Roman" w:hAnsi="Times New Roman" w:cs="Times New Roman"/>
                <w:sz w:val="20"/>
                <w:szCs w:val="20"/>
              </w:rPr>
            </w:pPr>
            <w:r w:rsidRPr="00316EEC">
              <w:rPr>
                <w:rFonts w:ascii="Times New Roman" w:hAnsi="Times New Roman" w:cs="Times New Roman"/>
                <w:bCs/>
                <w:sz w:val="20"/>
                <w:szCs w:val="20"/>
              </w:rPr>
              <w:t>infected people</w:t>
            </w:r>
          </w:p>
        </w:tc>
        <w:tc>
          <w:tcPr>
            <w:tcW w:w="1709" w:type="dxa"/>
          </w:tcPr>
          <w:p w14:paraId="7985C502"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Wide range of people</w:t>
            </w:r>
          </w:p>
          <w:p w14:paraId="1BE3E666"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affected by</w:t>
            </w:r>
          </w:p>
          <w:p w14:paraId="110A9686"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COVID-19.</w:t>
            </w:r>
          </w:p>
          <w:p w14:paraId="5E3D4062"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High Risk as they can spread infections</w:t>
            </w:r>
          </w:p>
        </w:tc>
        <w:tc>
          <w:tcPr>
            <w:tcW w:w="1763" w:type="dxa"/>
          </w:tcPr>
          <w:p w14:paraId="6EDBE829"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Testing</w:t>
            </w:r>
          </w:p>
          <w:p w14:paraId="056650B4"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4132BAC5"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Medical examination and</w:t>
            </w:r>
          </w:p>
          <w:p w14:paraId="5233E5F1"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treatment in hospitals</w:t>
            </w:r>
          </w:p>
          <w:p w14:paraId="2C09283E" w14:textId="77777777" w:rsidR="007518F8" w:rsidRPr="00316EEC" w:rsidRDefault="007518F8" w:rsidP="00316EEC">
            <w:pPr>
              <w:ind w:left="142"/>
              <w:rPr>
                <w:rFonts w:ascii="Times New Roman" w:hAnsi="Times New Roman" w:cs="Times New Roman"/>
                <w:sz w:val="20"/>
                <w:szCs w:val="20"/>
              </w:rPr>
            </w:pPr>
          </w:p>
        </w:tc>
        <w:tc>
          <w:tcPr>
            <w:tcW w:w="1863" w:type="dxa"/>
          </w:tcPr>
          <w:p w14:paraId="76599641"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Daytime regular remote communication with medical workers.</w:t>
            </w:r>
          </w:p>
          <w:p w14:paraId="65E6439B"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Information about actions needed. </w:t>
            </w:r>
          </w:p>
          <w:p w14:paraId="4DBC8539"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In case of severe disease – emergency aid and hospitalization. </w:t>
            </w:r>
          </w:p>
          <w:p w14:paraId="544FB578"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10F1ADAA"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tc>
        <w:tc>
          <w:tcPr>
            <w:tcW w:w="2962" w:type="dxa"/>
          </w:tcPr>
          <w:p w14:paraId="6E551855" w14:textId="470DF32A" w:rsidR="007518F8" w:rsidRDefault="005C794F" w:rsidP="00316EEC">
            <w:pPr>
              <w:ind w:left="142"/>
              <w:rPr>
                <w:rFonts w:ascii="Times New Roman" w:hAnsi="Times New Roman" w:cs="Times New Roman"/>
                <w:sz w:val="20"/>
                <w:szCs w:val="20"/>
              </w:rPr>
            </w:pPr>
            <w:r>
              <w:rPr>
                <w:rFonts w:ascii="Times New Roman" w:hAnsi="Times New Roman" w:cs="Times New Roman"/>
                <w:sz w:val="20"/>
                <w:szCs w:val="20"/>
              </w:rPr>
              <w:t>C</w:t>
            </w:r>
            <w:r w:rsidRPr="005C794F">
              <w:rPr>
                <w:rFonts w:ascii="Times New Roman" w:hAnsi="Times New Roman" w:cs="Times New Roman"/>
                <w:sz w:val="20"/>
                <w:szCs w:val="20"/>
              </w:rPr>
              <w:t>ommunication materials in local languages for information outreach</w:t>
            </w:r>
            <w:r w:rsidRPr="00316EEC">
              <w:rPr>
                <w:rFonts w:ascii="Times New Roman" w:hAnsi="Times New Roman" w:cs="Times New Roman"/>
                <w:sz w:val="20"/>
                <w:szCs w:val="20"/>
              </w:rPr>
              <w:t xml:space="preserve"> </w:t>
            </w:r>
            <w:r>
              <w:rPr>
                <w:rFonts w:ascii="Times New Roman" w:hAnsi="Times New Roman" w:cs="Times New Roman"/>
                <w:sz w:val="20"/>
                <w:szCs w:val="20"/>
              </w:rPr>
              <w:t>such as i</w:t>
            </w:r>
            <w:r w:rsidR="007518F8" w:rsidRPr="00316EEC">
              <w:rPr>
                <w:rFonts w:ascii="Times New Roman" w:hAnsi="Times New Roman" w:cs="Times New Roman"/>
                <w:sz w:val="20"/>
                <w:szCs w:val="20"/>
              </w:rPr>
              <w:t>nformation in Media; on official websites; social media; consultations by phone/            e-mail with local medical workers; viber/telegram MOH channel Covid-19; contact center MOH on Covid-19.</w:t>
            </w:r>
          </w:p>
          <w:p w14:paraId="22A009E8" w14:textId="4B160554" w:rsidR="005C794F" w:rsidRPr="00316EEC" w:rsidRDefault="005C794F" w:rsidP="00316EEC">
            <w:pPr>
              <w:ind w:left="142"/>
              <w:rPr>
                <w:rFonts w:ascii="Times New Roman" w:hAnsi="Times New Roman" w:cs="Times New Roman"/>
                <w:sz w:val="20"/>
                <w:szCs w:val="20"/>
              </w:rPr>
            </w:pPr>
          </w:p>
        </w:tc>
      </w:tr>
      <w:tr w:rsidR="00D438DE" w:rsidRPr="00316EEC" w14:paraId="24C43098" w14:textId="77777777" w:rsidTr="005E7562">
        <w:trPr>
          <w:gridAfter w:val="1"/>
          <w:wAfter w:w="17" w:type="dxa"/>
        </w:trPr>
        <w:tc>
          <w:tcPr>
            <w:tcW w:w="1980" w:type="dxa"/>
          </w:tcPr>
          <w:p w14:paraId="185202A1"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People with symptoms of COVID-19</w:t>
            </w:r>
          </w:p>
        </w:tc>
        <w:tc>
          <w:tcPr>
            <w:tcW w:w="1709" w:type="dxa"/>
          </w:tcPr>
          <w:p w14:paraId="1D3B94D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Wide range people who have symptoms of COVID-19 </w:t>
            </w:r>
          </w:p>
        </w:tc>
        <w:tc>
          <w:tcPr>
            <w:tcW w:w="1763" w:type="dxa"/>
          </w:tcPr>
          <w:p w14:paraId="11CA8282"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Testing and treatment</w:t>
            </w:r>
          </w:p>
        </w:tc>
        <w:tc>
          <w:tcPr>
            <w:tcW w:w="1863" w:type="dxa"/>
          </w:tcPr>
          <w:p w14:paraId="20FD6CC0"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Regular remote communication with medical workers.</w:t>
            </w:r>
          </w:p>
          <w:p w14:paraId="3541CC14"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383EFC4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about actions needed and where to apply for passing COVID-19 tests and treatment.</w:t>
            </w:r>
          </w:p>
          <w:p w14:paraId="6361D210"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tc>
        <w:tc>
          <w:tcPr>
            <w:tcW w:w="2962" w:type="dxa"/>
          </w:tcPr>
          <w:p w14:paraId="3AC4A394" w14:textId="7D36632D" w:rsidR="007518F8" w:rsidRPr="00316EEC" w:rsidRDefault="005C794F" w:rsidP="00316EEC">
            <w:pPr>
              <w:ind w:left="142"/>
              <w:rPr>
                <w:rFonts w:ascii="Times New Roman" w:hAnsi="Times New Roman" w:cs="Times New Roman"/>
                <w:sz w:val="20"/>
                <w:szCs w:val="20"/>
              </w:rPr>
            </w:pPr>
            <w:r w:rsidRPr="005C794F">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nformation in Media; on official websites; social media; consultations by phone/            e-mail with local medical workers; viber/telegram MOH channel Covid-19; contact center MOH on Covid-19.</w:t>
            </w:r>
          </w:p>
        </w:tc>
      </w:tr>
      <w:tr w:rsidR="00D438DE" w:rsidRPr="00316EEC" w14:paraId="62B2B542" w14:textId="77777777" w:rsidTr="005E7562">
        <w:trPr>
          <w:gridAfter w:val="1"/>
          <w:wAfter w:w="17" w:type="dxa"/>
        </w:trPr>
        <w:tc>
          <w:tcPr>
            <w:tcW w:w="1980" w:type="dxa"/>
          </w:tcPr>
          <w:p w14:paraId="15890A2B"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 xml:space="preserve">People under COVID-19 quarantine </w:t>
            </w:r>
          </w:p>
          <w:p w14:paraId="4557CA05"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53EDF6B6"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 xml:space="preserve"> </w:t>
            </w:r>
          </w:p>
        </w:tc>
        <w:tc>
          <w:tcPr>
            <w:tcW w:w="1709" w:type="dxa"/>
          </w:tcPr>
          <w:p w14:paraId="6B1E763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Wide range of people are being isolated to prevent COVID-19 from spreading</w:t>
            </w:r>
          </w:p>
        </w:tc>
        <w:tc>
          <w:tcPr>
            <w:tcW w:w="1763" w:type="dxa"/>
          </w:tcPr>
          <w:p w14:paraId="0AAADF00"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Testing</w:t>
            </w:r>
          </w:p>
        </w:tc>
        <w:tc>
          <w:tcPr>
            <w:tcW w:w="1863" w:type="dxa"/>
          </w:tcPr>
          <w:p w14:paraId="5839B893"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Information about COVID-19 preventive measures </w:t>
            </w:r>
          </w:p>
          <w:p w14:paraId="396AB45F"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4D96799A"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Virtual informing </w:t>
            </w:r>
          </w:p>
          <w:p w14:paraId="20C3E1AA"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Remote communication</w:t>
            </w:r>
          </w:p>
          <w:p w14:paraId="15B4ECA2"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58E6CD54"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Regular remote communication with medical workers</w:t>
            </w:r>
          </w:p>
        </w:tc>
        <w:tc>
          <w:tcPr>
            <w:tcW w:w="2962" w:type="dxa"/>
          </w:tcPr>
          <w:p w14:paraId="295FFE7C" w14:textId="2A87BC25" w:rsidR="007518F8" w:rsidRPr="00316EEC" w:rsidRDefault="005C794F" w:rsidP="00316EEC">
            <w:pPr>
              <w:ind w:left="142"/>
              <w:rPr>
                <w:rFonts w:ascii="Times New Roman" w:hAnsi="Times New Roman" w:cs="Times New Roman"/>
                <w:sz w:val="20"/>
                <w:szCs w:val="20"/>
              </w:rPr>
            </w:pPr>
            <w:r w:rsidRPr="005C794F">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nformation in Media; on official websites; social media; consultations by phone/            e-mail with local medical workers; viber/telegram MOH channel Covid-19; contact center MOH on Covid-19.</w:t>
            </w:r>
          </w:p>
        </w:tc>
      </w:tr>
      <w:tr w:rsidR="00D438DE" w:rsidRPr="00316EEC" w14:paraId="14514358" w14:textId="77777777" w:rsidTr="005E7562">
        <w:trPr>
          <w:gridAfter w:val="1"/>
          <w:wAfter w:w="17" w:type="dxa"/>
          <w:trHeight w:val="155"/>
        </w:trPr>
        <w:tc>
          <w:tcPr>
            <w:tcW w:w="1980" w:type="dxa"/>
          </w:tcPr>
          <w:p w14:paraId="7CE0997D"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Contacted persons with infected by COVID-19 persons</w:t>
            </w:r>
          </w:p>
        </w:tc>
        <w:tc>
          <w:tcPr>
            <w:tcW w:w="1709" w:type="dxa"/>
          </w:tcPr>
          <w:p w14:paraId="4F6D3B8F"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Persons who were in direct contact with infected persons</w:t>
            </w:r>
          </w:p>
        </w:tc>
        <w:tc>
          <w:tcPr>
            <w:tcW w:w="1763" w:type="dxa"/>
          </w:tcPr>
          <w:p w14:paraId="2C92AD33"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Testing</w:t>
            </w:r>
          </w:p>
        </w:tc>
        <w:tc>
          <w:tcPr>
            <w:tcW w:w="1863" w:type="dxa"/>
          </w:tcPr>
          <w:p w14:paraId="120B459D"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Information about COVID-19 preventive measures </w:t>
            </w:r>
          </w:p>
          <w:p w14:paraId="557A4178"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4E2E8397"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Virtual informing </w:t>
            </w:r>
          </w:p>
          <w:p w14:paraId="697B2061"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Remote communication</w:t>
            </w:r>
          </w:p>
          <w:p w14:paraId="339611FD"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1F3CEE34"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Regular remote communication with medical workers</w:t>
            </w:r>
          </w:p>
        </w:tc>
        <w:tc>
          <w:tcPr>
            <w:tcW w:w="2962" w:type="dxa"/>
          </w:tcPr>
          <w:p w14:paraId="7F8B0BD1" w14:textId="3449A897" w:rsidR="007518F8" w:rsidRPr="00316EEC" w:rsidRDefault="00BD3761" w:rsidP="00316EEC">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nformation in Media; on official websites; social media; consultations by phone/            e-mail with local medical workers; viber/telegram MOH channel Covid-19; contact center MOH on Covid-19.</w:t>
            </w:r>
          </w:p>
        </w:tc>
      </w:tr>
      <w:tr w:rsidR="005A0A22" w:rsidRPr="00316EEC" w14:paraId="5DD52C9E" w14:textId="77777777" w:rsidTr="005E7562">
        <w:trPr>
          <w:gridAfter w:val="1"/>
          <w:wAfter w:w="17" w:type="dxa"/>
          <w:trHeight w:val="155"/>
        </w:trPr>
        <w:tc>
          <w:tcPr>
            <w:tcW w:w="1980" w:type="dxa"/>
          </w:tcPr>
          <w:p w14:paraId="052BBC5F" w14:textId="61927BF5" w:rsidR="005A0A22" w:rsidRPr="00354C2E" w:rsidRDefault="00354C2E" w:rsidP="00316EEC">
            <w:pPr>
              <w:autoSpaceDE w:val="0"/>
              <w:autoSpaceDN w:val="0"/>
              <w:adjustRightInd w:val="0"/>
              <w:ind w:left="142"/>
              <w:rPr>
                <w:rFonts w:ascii="Times New Roman" w:hAnsi="Times New Roman" w:cs="Times New Roman"/>
                <w:bCs/>
                <w:sz w:val="20"/>
                <w:szCs w:val="20"/>
              </w:rPr>
            </w:pPr>
            <w:r w:rsidRPr="00354C2E">
              <w:rPr>
                <w:rFonts w:ascii="Times New Roman" w:eastAsia="Times New Roman" w:hAnsi="Times New Roman" w:cs="Times New Roman"/>
                <w:color w:val="222222"/>
                <w:sz w:val="20"/>
                <w:szCs w:val="20"/>
                <w:lang w:eastAsia="ru-RU"/>
              </w:rPr>
              <w:t>Employees of medical waste disposal services</w:t>
            </w:r>
          </w:p>
        </w:tc>
        <w:tc>
          <w:tcPr>
            <w:tcW w:w="1709" w:type="dxa"/>
          </w:tcPr>
          <w:p w14:paraId="79E64A4C" w14:textId="5F1F12F7" w:rsidR="005A0A22" w:rsidRPr="00354C2E" w:rsidRDefault="00AB5212" w:rsidP="00316EEC">
            <w:pPr>
              <w:autoSpaceDE w:val="0"/>
              <w:autoSpaceDN w:val="0"/>
              <w:adjustRightInd w:val="0"/>
              <w:ind w:left="142"/>
              <w:rPr>
                <w:rFonts w:ascii="Times New Roman" w:hAnsi="Times New Roman" w:cs="Times New Roman"/>
                <w:sz w:val="20"/>
                <w:szCs w:val="20"/>
              </w:rPr>
            </w:pPr>
            <w:r>
              <w:rPr>
                <w:rFonts w:ascii="Times New Roman" w:hAnsi="Times New Roman" w:cs="Times New Roman"/>
                <w:sz w:val="20"/>
                <w:szCs w:val="20"/>
              </w:rPr>
              <w:t>Persons who work with medical waste</w:t>
            </w:r>
          </w:p>
        </w:tc>
        <w:tc>
          <w:tcPr>
            <w:tcW w:w="1763" w:type="dxa"/>
          </w:tcPr>
          <w:p w14:paraId="12BD31E2" w14:textId="4EB81413" w:rsidR="005A0A22" w:rsidRPr="00354C2E" w:rsidRDefault="00AB5212" w:rsidP="00316EEC">
            <w:pPr>
              <w:autoSpaceDE w:val="0"/>
              <w:autoSpaceDN w:val="0"/>
              <w:adjustRightInd w:val="0"/>
              <w:ind w:left="142"/>
              <w:rPr>
                <w:rFonts w:ascii="Times New Roman" w:hAnsi="Times New Roman" w:cs="Times New Roman"/>
                <w:sz w:val="20"/>
                <w:szCs w:val="20"/>
              </w:rPr>
            </w:pPr>
            <w:r>
              <w:rPr>
                <w:rFonts w:ascii="Times New Roman" w:hAnsi="Times New Roman" w:cs="Times New Roman"/>
                <w:sz w:val="20"/>
                <w:szCs w:val="20"/>
              </w:rPr>
              <w:t>Trainings concerning collection and disposal of medical waste</w:t>
            </w:r>
          </w:p>
        </w:tc>
        <w:tc>
          <w:tcPr>
            <w:tcW w:w="1863" w:type="dxa"/>
          </w:tcPr>
          <w:p w14:paraId="7F2F70B5" w14:textId="65B859D3" w:rsidR="005A0A22" w:rsidRPr="00354C2E" w:rsidRDefault="00D76757" w:rsidP="00316EEC">
            <w:pPr>
              <w:autoSpaceDE w:val="0"/>
              <w:autoSpaceDN w:val="0"/>
              <w:adjustRightInd w:val="0"/>
              <w:ind w:left="142"/>
              <w:rPr>
                <w:rFonts w:ascii="Times New Roman" w:hAnsi="Times New Roman" w:cs="Times New Roman"/>
                <w:sz w:val="20"/>
                <w:szCs w:val="20"/>
              </w:rPr>
            </w:pPr>
            <w:r>
              <w:rPr>
                <w:rFonts w:ascii="Times New Roman" w:hAnsi="Times New Roman" w:cs="Times New Roman"/>
                <w:sz w:val="20"/>
                <w:szCs w:val="20"/>
              </w:rPr>
              <w:t xml:space="preserve">During pandemic COVID-19 employees </w:t>
            </w:r>
            <w:r w:rsidR="00CD3EDC">
              <w:rPr>
                <w:rFonts w:ascii="Times New Roman" w:hAnsi="Times New Roman" w:cs="Times New Roman"/>
                <w:sz w:val="20"/>
                <w:szCs w:val="20"/>
              </w:rPr>
              <w:t>are</w:t>
            </w:r>
            <w:r>
              <w:rPr>
                <w:rFonts w:ascii="Times New Roman" w:hAnsi="Times New Roman" w:cs="Times New Roman"/>
                <w:sz w:val="20"/>
                <w:szCs w:val="20"/>
              </w:rPr>
              <w:t xml:space="preserve"> overloaded and have a heavy schedule, which should be taken into consideration when planning the trainings.</w:t>
            </w:r>
          </w:p>
        </w:tc>
        <w:tc>
          <w:tcPr>
            <w:tcW w:w="2962" w:type="dxa"/>
          </w:tcPr>
          <w:p w14:paraId="53DEC000" w14:textId="77777777" w:rsidR="005A0A22" w:rsidRDefault="00D76757" w:rsidP="00316EEC">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Pr="00316EEC">
              <w:rPr>
                <w:rFonts w:ascii="Times New Roman" w:hAnsi="Times New Roman" w:cs="Times New Roman"/>
                <w:sz w:val="20"/>
                <w:szCs w:val="20"/>
              </w:rPr>
              <w:t>nformation in Media; on official websites; social media</w:t>
            </w:r>
            <w:r>
              <w:rPr>
                <w:rFonts w:ascii="Times New Roman" w:hAnsi="Times New Roman" w:cs="Times New Roman"/>
                <w:sz w:val="20"/>
                <w:szCs w:val="20"/>
              </w:rPr>
              <w:t>.</w:t>
            </w:r>
          </w:p>
          <w:p w14:paraId="5A03C624" w14:textId="06AF93B3" w:rsidR="00D76757" w:rsidRPr="00354C2E" w:rsidRDefault="00D76757" w:rsidP="00316EEC">
            <w:pPr>
              <w:ind w:left="142"/>
              <w:rPr>
                <w:rFonts w:ascii="Times New Roman" w:hAnsi="Times New Roman" w:cs="Times New Roman"/>
                <w:sz w:val="20"/>
                <w:szCs w:val="20"/>
              </w:rPr>
            </w:pPr>
            <w:r>
              <w:rPr>
                <w:rFonts w:ascii="Times New Roman" w:hAnsi="Times New Roman" w:cs="Times New Roman"/>
                <w:sz w:val="20"/>
                <w:szCs w:val="20"/>
              </w:rPr>
              <w:t>Written instructions.</w:t>
            </w:r>
          </w:p>
        </w:tc>
      </w:tr>
      <w:tr w:rsidR="007518F8" w:rsidRPr="00316EEC" w14:paraId="1CFA48BE" w14:textId="77777777" w:rsidTr="005E7562">
        <w:trPr>
          <w:trHeight w:val="424"/>
        </w:trPr>
        <w:tc>
          <w:tcPr>
            <w:tcW w:w="10294" w:type="dxa"/>
            <w:gridSpan w:val="6"/>
            <w:tcBorders>
              <w:top w:val="nil"/>
              <w:bottom w:val="single" w:sz="4" w:space="0" w:color="auto"/>
            </w:tcBorders>
          </w:tcPr>
          <w:p w14:paraId="6A7B7311" w14:textId="77777777" w:rsidR="007518F8" w:rsidRPr="00316EEC" w:rsidRDefault="007518F8" w:rsidP="00316EEC">
            <w:pPr>
              <w:ind w:left="142"/>
              <w:rPr>
                <w:rFonts w:ascii="Times New Roman" w:hAnsi="Times New Roman" w:cs="Times New Roman"/>
                <w:sz w:val="20"/>
                <w:szCs w:val="20"/>
                <w:highlight w:val="cyan"/>
              </w:rPr>
            </w:pPr>
          </w:p>
        </w:tc>
      </w:tr>
      <w:tr w:rsidR="007518F8" w:rsidRPr="00316EEC" w14:paraId="553EE48F" w14:textId="77777777" w:rsidTr="005E7562">
        <w:trPr>
          <w:trHeight w:val="155"/>
        </w:trPr>
        <w:tc>
          <w:tcPr>
            <w:tcW w:w="10294" w:type="dxa"/>
            <w:gridSpan w:val="6"/>
            <w:tcBorders>
              <w:top w:val="single" w:sz="4" w:space="0" w:color="auto"/>
              <w:bottom w:val="single" w:sz="4" w:space="0" w:color="auto"/>
            </w:tcBorders>
            <w:shd w:val="clear" w:color="auto" w:fill="D9D9D9" w:themeFill="background1" w:themeFillShade="D9"/>
          </w:tcPr>
          <w:p w14:paraId="48C55446" w14:textId="77777777" w:rsidR="007518F8" w:rsidRPr="00316EEC" w:rsidRDefault="007518F8" w:rsidP="00316EEC">
            <w:pPr>
              <w:ind w:left="142"/>
              <w:rPr>
                <w:rFonts w:ascii="Times New Roman" w:hAnsi="Times New Roman" w:cs="Times New Roman"/>
                <w:b/>
                <w:sz w:val="20"/>
                <w:szCs w:val="20"/>
              </w:rPr>
            </w:pPr>
            <w:r w:rsidRPr="00316EEC">
              <w:rPr>
                <w:rFonts w:ascii="Times New Roman" w:hAnsi="Times New Roman" w:cs="Times New Roman"/>
                <w:b/>
                <w:sz w:val="20"/>
                <w:szCs w:val="20"/>
              </w:rPr>
              <w:t>Other interested parties</w:t>
            </w:r>
          </w:p>
        </w:tc>
      </w:tr>
      <w:tr w:rsidR="00D438DE" w:rsidRPr="00316EEC" w14:paraId="0818FA2C" w14:textId="77777777" w:rsidTr="005E7562">
        <w:trPr>
          <w:gridAfter w:val="1"/>
          <w:wAfter w:w="17" w:type="dxa"/>
          <w:trHeight w:val="155"/>
        </w:trPr>
        <w:tc>
          <w:tcPr>
            <w:tcW w:w="1980" w:type="dxa"/>
            <w:tcBorders>
              <w:top w:val="single" w:sz="4" w:space="0" w:color="auto"/>
              <w:bottom w:val="single" w:sz="4" w:space="0" w:color="auto"/>
            </w:tcBorders>
          </w:tcPr>
          <w:p w14:paraId="68D327B3"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Ministry of health of Ukraine;</w:t>
            </w:r>
          </w:p>
          <w:p w14:paraId="07A6F17F"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sz w:val="20"/>
                <w:szCs w:val="20"/>
              </w:rPr>
              <w:t>health care departments of oblasts and cities administrations;</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health care institutions</w:t>
            </w:r>
          </w:p>
          <w:p w14:paraId="2A8B4518"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3BE666C9"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PIU</w:t>
            </w:r>
          </w:p>
          <w:p w14:paraId="11020849"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16049524"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Public Health Center</w:t>
            </w:r>
          </w:p>
          <w:p w14:paraId="48DA3788"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769131BF"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National health service of Ukraine</w:t>
            </w:r>
          </w:p>
          <w:p w14:paraId="3B2E6852"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7E64D60C"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 xml:space="preserve"> </w:t>
            </w:r>
          </w:p>
        </w:tc>
        <w:tc>
          <w:tcPr>
            <w:tcW w:w="1709" w:type="dxa"/>
            <w:tcBorders>
              <w:top w:val="single" w:sz="4" w:space="0" w:color="auto"/>
              <w:bottom w:val="single" w:sz="4" w:space="0" w:color="auto"/>
            </w:tcBorders>
          </w:tcPr>
          <w:p w14:paraId="7D747667"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Implementing agency and coordination unit</w:t>
            </w:r>
          </w:p>
        </w:tc>
        <w:tc>
          <w:tcPr>
            <w:tcW w:w="1763" w:type="dxa"/>
            <w:tcBorders>
              <w:top w:val="single" w:sz="4" w:space="0" w:color="auto"/>
              <w:bottom w:val="single" w:sz="4" w:space="0" w:color="auto"/>
            </w:tcBorders>
          </w:tcPr>
          <w:p w14:paraId="77EF4AEB"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Implementation for emergency response on COVID-19 pandemic </w:t>
            </w:r>
          </w:p>
        </w:tc>
        <w:tc>
          <w:tcPr>
            <w:tcW w:w="1863" w:type="dxa"/>
            <w:tcBorders>
              <w:top w:val="single" w:sz="4" w:space="0" w:color="auto"/>
              <w:bottom w:val="single" w:sz="4" w:space="0" w:color="auto"/>
            </w:tcBorders>
          </w:tcPr>
          <w:p w14:paraId="321A232A"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Elaboration of communication methods and vaccination action plan for effective project coordination and stakeholders’ engagement</w:t>
            </w:r>
          </w:p>
        </w:tc>
        <w:tc>
          <w:tcPr>
            <w:tcW w:w="2962" w:type="dxa"/>
            <w:tcBorders>
              <w:top w:val="single" w:sz="4" w:space="0" w:color="auto"/>
              <w:bottom w:val="single" w:sz="4" w:space="0" w:color="auto"/>
            </w:tcBorders>
          </w:tcPr>
          <w:p w14:paraId="2FC3DD99" w14:textId="4DE2D196" w:rsidR="007518F8" w:rsidRPr="00316EEC" w:rsidRDefault="00BD3761" w:rsidP="00316EEC">
            <w:pPr>
              <w:ind w:left="142"/>
              <w:rPr>
                <w:rFonts w:ascii="Times New Roman" w:hAnsi="Times New Roman" w:cs="Times New Roman"/>
                <w:sz w:val="20"/>
                <w:szCs w:val="20"/>
              </w:rPr>
            </w:pPr>
            <w:r w:rsidRPr="00BD3761">
              <w:rPr>
                <w:rFonts w:ascii="Times New Roman" w:hAnsi="Times New Roman" w:cs="Times New Roman"/>
                <w:sz w:val="20"/>
                <w:szCs w:val="20"/>
              </w:rPr>
              <w:t>Communication materials in local languages for information outreach</w:t>
            </w:r>
            <w:r>
              <w:rPr>
                <w:rFonts w:ascii="Times New Roman" w:hAnsi="Times New Roman" w:cs="Times New Roman"/>
                <w:sz w:val="20"/>
                <w:szCs w:val="20"/>
              </w:rPr>
              <w:t>, w</w:t>
            </w:r>
            <w:r w:rsidR="007518F8" w:rsidRPr="00316EEC">
              <w:rPr>
                <w:rFonts w:ascii="Times New Roman" w:hAnsi="Times New Roman" w:cs="Times New Roman"/>
                <w:sz w:val="20"/>
                <w:szCs w:val="20"/>
              </w:rPr>
              <w:t>orkshops, official letters, negotiations, orders, official protocols which describe vaccination procedure, vaccine handling, safety measures for medical staff and patients,</w:t>
            </w:r>
            <w:r w:rsidR="007518F8" w:rsidRPr="00316EEC">
              <w:rPr>
                <w:rFonts w:ascii="Times New Roman" w:hAnsi="Times New Roman" w:cs="Times New Roman"/>
                <w:sz w:val="20"/>
                <w:szCs w:val="20"/>
                <w:lang w:val="uk-UA"/>
              </w:rPr>
              <w:t xml:space="preserve"> </w:t>
            </w:r>
            <w:r w:rsidR="007518F8" w:rsidRPr="00316EEC">
              <w:rPr>
                <w:rFonts w:ascii="Times New Roman" w:hAnsi="Times New Roman" w:cs="Times New Roman"/>
                <w:sz w:val="20"/>
                <w:szCs w:val="20"/>
              </w:rPr>
              <w:t xml:space="preserve">treatment of medical waste etc. </w:t>
            </w:r>
          </w:p>
        </w:tc>
      </w:tr>
      <w:tr w:rsidR="00D438DE" w:rsidRPr="00316EEC" w14:paraId="0C0553CF" w14:textId="77777777" w:rsidTr="005E7562">
        <w:trPr>
          <w:gridAfter w:val="1"/>
          <w:wAfter w:w="17" w:type="dxa"/>
          <w:trHeight w:val="155"/>
        </w:trPr>
        <w:tc>
          <w:tcPr>
            <w:tcW w:w="1980" w:type="dxa"/>
            <w:tcBorders>
              <w:top w:val="single" w:sz="4" w:space="0" w:color="auto"/>
              <w:bottom w:val="single" w:sz="4" w:space="0" w:color="auto"/>
            </w:tcBorders>
          </w:tcPr>
          <w:p w14:paraId="41421751"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Parliament</w:t>
            </w:r>
          </w:p>
          <w:p w14:paraId="1F855425"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58F9E17D"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Ministry of Education and Science of Ukraine</w:t>
            </w:r>
          </w:p>
          <w:p w14:paraId="054C4E48"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5B63D9C6"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Ministry of Defense of Ukraine</w:t>
            </w:r>
          </w:p>
          <w:p w14:paraId="20A674EC"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2CE03C1B"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National Security and Defense Council of Ukraine;</w:t>
            </w:r>
          </w:p>
          <w:p w14:paraId="316E9E64"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7BBF4036"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Ministry of Social Protection of Ukraine</w:t>
            </w:r>
          </w:p>
          <w:p w14:paraId="730F484E"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2C55DFBC"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Ministry of Finance of Ukraine</w:t>
            </w:r>
          </w:p>
          <w:p w14:paraId="7574EB76"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p>
          <w:p w14:paraId="217A089A"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Other state bodies of Ukraine</w:t>
            </w:r>
          </w:p>
        </w:tc>
        <w:tc>
          <w:tcPr>
            <w:tcW w:w="1709" w:type="dxa"/>
            <w:tcBorders>
              <w:top w:val="single" w:sz="4" w:space="0" w:color="auto"/>
              <w:bottom w:val="single" w:sz="4" w:space="0" w:color="auto"/>
            </w:tcBorders>
          </w:tcPr>
          <w:p w14:paraId="61A8C3CD"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The policy makers and supervision of a wide network of state institutions </w:t>
            </w:r>
          </w:p>
        </w:tc>
        <w:tc>
          <w:tcPr>
            <w:tcW w:w="1763" w:type="dxa"/>
            <w:tcBorders>
              <w:top w:val="single" w:sz="4" w:space="0" w:color="auto"/>
              <w:bottom w:val="single" w:sz="4" w:space="0" w:color="auto"/>
            </w:tcBorders>
          </w:tcPr>
          <w:p w14:paraId="226C70BB"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Engagement in elaboration of vaccination action plan</w:t>
            </w:r>
          </w:p>
          <w:p w14:paraId="352D86EF"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2E9E3FDD"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Comprehensive information about COVID-19 spreading prevention measures </w:t>
            </w:r>
          </w:p>
          <w:p w14:paraId="0804CE3E"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3B68C28B"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Provision of Project measures financing</w:t>
            </w:r>
          </w:p>
          <w:p w14:paraId="3CFC13CE"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2D90A05A"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tc>
        <w:tc>
          <w:tcPr>
            <w:tcW w:w="1863" w:type="dxa"/>
            <w:tcBorders>
              <w:top w:val="single" w:sz="4" w:space="0" w:color="auto"/>
              <w:bottom w:val="single" w:sz="4" w:space="0" w:color="auto"/>
            </w:tcBorders>
          </w:tcPr>
          <w:p w14:paraId="2064605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Interagency communication </w:t>
            </w:r>
          </w:p>
        </w:tc>
        <w:tc>
          <w:tcPr>
            <w:tcW w:w="2962" w:type="dxa"/>
            <w:tcBorders>
              <w:top w:val="single" w:sz="4" w:space="0" w:color="auto"/>
              <w:bottom w:val="single" w:sz="4" w:space="0" w:color="auto"/>
            </w:tcBorders>
          </w:tcPr>
          <w:p w14:paraId="45D15DB9" w14:textId="77777777" w:rsidR="007518F8" w:rsidRPr="00316EEC" w:rsidRDefault="007518F8" w:rsidP="00316EEC">
            <w:pPr>
              <w:ind w:left="142"/>
              <w:rPr>
                <w:rFonts w:ascii="Times New Roman" w:hAnsi="Times New Roman" w:cs="Times New Roman"/>
                <w:sz w:val="20"/>
                <w:szCs w:val="20"/>
              </w:rPr>
            </w:pPr>
            <w:r w:rsidRPr="00316EEC">
              <w:rPr>
                <w:rFonts w:ascii="Times New Roman" w:hAnsi="Times New Roman" w:cs="Times New Roman"/>
                <w:sz w:val="20"/>
                <w:szCs w:val="20"/>
              </w:rPr>
              <w:t xml:space="preserve">Letters, virtual meetings and consultations, workshops </w:t>
            </w:r>
          </w:p>
        </w:tc>
      </w:tr>
      <w:tr w:rsidR="00D438DE" w:rsidRPr="00316EEC" w14:paraId="6593C31E" w14:textId="77777777" w:rsidTr="005E7562">
        <w:trPr>
          <w:gridAfter w:val="1"/>
          <w:wAfter w:w="17" w:type="dxa"/>
          <w:trHeight w:val="155"/>
        </w:trPr>
        <w:tc>
          <w:tcPr>
            <w:tcW w:w="1980" w:type="dxa"/>
            <w:tcBorders>
              <w:top w:val="single" w:sz="4" w:space="0" w:color="auto"/>
              <w:bottom w:val="single" w:sz="4" w:space="0" w:color="auto"/>
            </w:tcBorders>
          </w:tcPr>
          <w:p w14:paraId="436CD842"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Media and Journalists</w:t>
            </w:r>
          </w:p>
        </w:tc>
        <w:tc>
          <w:tcPr>
            <w:tcW w:w="1709" w:type="dxa"/>
            <w:tcBorders>
              <w:top w:val="single" w:sz="4" w:space="0" w:color="auto"/>
              <w:bottom w:val="single" w:sz="4" w:space="0" w:color="auto"/>
            </w:tcBorders>
          </w:tcPr>
          <w:p w14:paraId="41B12E53"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National, regional and local media</w:t>
            </w:r>
          </w:p>
        </w:tc>
        <w:tc>
          <w:tcPr>
            <w:tcW w:w="1763" w:type="dxa"/>
            <w:tcBorders>
              <w:top w:val="single" w:sz="4" w:space="0" w:color="auto"/>
              <w:bottom w:val="single" w:sz="4" w:space="0" w:color="auto"/>
            </w:tcBorders>
          </w:tcPr>
          <w:p w14:paraId="454AF188"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about the Project, its purposes and results. Awareness of local population about project activities</w:t>
            </w:r>
          </w:p>
          <w:p w14:paraId="6720BDE7"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6E223C67"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Translation of communication campaign messages for promoting social distancing, COVID – 19 prophylactic measures and safety and need for vaccination  </w:t>
            </w:r>
          </w:p>
        </w:tc>
        <w:tc>
          <w:tcPr>
            <w:tcW w:w="1863" w:type="dxa"/>
            <w:tcBorders>
              <w:top w:val="single" w:sz="4" w:space="0" w:color="auto"/>
              <w:bottom w:val="single" w:sz="4" w:space="0" w:color="auto"/>
            </w:tcBorders>
          </w:tcPr>
          <w:p w14:paraId="3274346E"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Training to improve</w:t>
            </w:r>
          </w:p>
          <w:p w14:paraId="2F0C20ED"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knowledge and</w:t>
            </w:r>
          </w:p>
          <w:p w14:paraId="7F57EA14"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techniques to arrange</w:t>
            </w:r>
          </w:p>
          <w:p w14:paraId="6ABBF421"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for media coverage of</w:t>
            </w:r>
          </w:p>
          <w:p w14:paraId="4791815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COVID-19 related</w:t>
            </w:r>
          </w:p>
          <w:p w14:paraId="341C8B6D"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emergency response</w:t>
            </w:r>
          </w:p>
          <w:p w14:paraId="461DA8BE"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procedures and vaccination</w:t>
            </w:r>
          </w:p>
        </w:tc>
        <w:tc>
          <w:tcPr>
            <w:tcW w:w="2962" w:type="dxa"/>
            <w:tcBorders>
              <w:top w:val="single" w:sz="4" w:space="0" w:color="auto"/>
              <w:bottom w:val="single" w:sz="4" w:space="0" w:color="auto"/>
            </w:tcBorders>
          </w:tcPr>
          <w:p w14:paraId="7ADF5A2F" w14:textId="77777777" w:rsidR="007518F8" w:rsidRPr="00316EEC" w:rsidRDefault="007518F8" w:rsidP="00316EEC">
            <w:pPr>
              <w:ind w:left="142"/>
              <w:rPr>
                <w:rFonts w:ascii="Times New Roman" w:hAnsi="Times New Roman" w:cs="Times New Roman"/>
                <w:sz w:val="20"/>
                <w:szCs w:val="20"/>
              </w:rPr>
            </w:pPr>
            <w:r w:rsidRPr="00316EEC">
              <w:rPr>
                <w:rFonts w:ascii="Times New Roman" w:hAnsi="Times New Roman" w:cs="Times New Roman"/>
                <w:sz w:val="20"/>
                <w:szCs w:val="20"/>
              </w:rPr>
              <w:t xml:space="preserve">Press releases, press conferences, official letters, official web-sites. </w:t>
            </w:r>
          </w:p>
        </w:tc>
      </w:tr>
      <w:tr w:rsidR="00D438DE" w:rsidRPr="00316EEC" w14:paraId="24CB1E90" w14:textId="77777777" w:rsidTr="005E7562">
        <w:trPr>
          <w:gridAfter w:val="1"/>
          <w:wAfter w:w="17" w:type="dxa"/>
          <w:trHeight w:val="155"/>
        </w:trPr>
        <w:tc>
          <w:tcPr>
            <w:tcW w:w="1980" w:type="dxa"/>
            <w:tcBorders>
              <w:top w:val="single" w:sz="4" w:space="0" w:color="auto"/>
              <w:bottom w:val="single" w:sz="4" w:space="0" w:color="auto"/>
            </w:tcBorders>
          </w:tcPr>
          <w:p w14:paraId="70B15473" w14:textId="77777777" w:rsidR="007518F8" w:rsidRPr="00316EEC" w:rsidRDefault="00F50ADF" w:rsidP="00316EEC">
            <w:pPr>
              <w:autoSpaceDE w:val="0"/>
              <w:autoSpaceDN w:val="0"/>
              <w:adjustRightInd w:val="0"/>
              <w:ind w:left="142"/>
              <w:rPr>
                <w:rFonts w:ascii="Times New Roman" w:hAnsi="Times New Roman" w:cs="Times New Roman"/>
                <w:bCs/>
                <w:i/>
                <w:iCs/>
                <w:sz w:val="20"/>
                <w:szCs w:val="20"/>
              </w:rPr>
            </w:pPr>
            <w:hyperlink r:id="rId11" w:history="1">
              <w:r w:rsidR="007518F8" w:rsidRPr="00316EEC">
                <w:rPr>
                  <w:rStyle w:val="a6"/>
                  <w:rFonts w:ascii="Times New Roman" w:hAnsi="Times New Roman" w:cs="Times New Roman"/>
                  <w:i w:val="0"/>
                  <w:iCs/>
                  <w:sz w:val="20"/>
                  <w:szCs w:val="20"/>
                </w:rPr>
                <w:t>Non-Governmental Organizations</w:t>
              </w:r>
            </w:hyperlink>
            <w:r w:rsidR="007518F8" w:rsidRPr="00316EEC">
              <w:rPr>
                <w:rFonts w:ascii="Times New Roman" w:hAnsi="Times New Roman" w:cs="Times New Roman"/>
                <w:bCs/>
                <w:i/>
                <w:iCs/>
                <w:sz w:val="20"/>
                <w:szCs w:val="20"/>
              </w:rPr>
              <w:t xml:space="preserve"> </w:t>
            </w:r>
            <w:r w:rsidR="007518F8" w:rsidRPr="00316EEC">
              <w:rPr>
                <w:rFonts w:ascii="Times New Roman" w:hAnsi="Times New Roman" w:cs="Times New Roman"/>
                <w:bCs/>
                <w:sz w:val="20"/>
                <w:szCs w:val="20"/>
              </w:rPr>
              <w:t>(NGOs)</w:t>
            </w:r>
          </w:p>
        </w:tc>
        <w:tc>
          <w:tcPr>
            <w:tcW w:w="1709" w:type="dxa"/>
            <w:tcBorders>
              <w:top w:val="single" w:sz="4" w:space="0" w:color="auto"/>
              <w:bottom w:val="single" w:sz="4" w:space="0" w:color="auto"/>
            </w:tcBorders>
          </w:tcPr>
          <w:p w14:paraId="5E01B7F6"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Non-for-profit</w:t>
            </w:r>
          </w:p>
          <w:p w14:paraId="02FB3FB3"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organizations on</w:t>
            </w:r>
          </w:p>
          <w:p w14:paraId="7BC755A5"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regional, national and</w:t>
            </w:r>
          </w:p>
          <w:p w14:paraId="292D8DCF"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local levels that</w:t>
            </w:r>
          </w:p>
          <w:p w14:paraId="53A61A23"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pursue environmental</w:t>
            </w:r>
          </w:p>
          <w:p w14:paraId="264585AF"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and socio-economic</w:t>
            </w:r>
          </w:p>
          <w:p w14:paraId="542663AA"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interests and may</w:t>
            </w:r>
          </w:p>
          <w:p w14:paraId="5FCA4979"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become partners of</w:t>
            </w:r>
          </w:p>
          <w:p w14:paraId="6E718331"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the project</w:t>
            </w:r>
          </w:p>
        </w:tc>
        <w:tc>
          <w:tcPr>
            <w:tcW w:w="1763" w:type="dxa"/>
            <w:tcBorders>
              <w:top w:val="single" w:sz="4" w:space="0" w:color="auto"/>
              <w:bottom w:val="single" w:sz="4" w:space="0" w:color="auto"/>
            </w:tcBorders>
          </w:tcPr>
          <w:p w14:paraId="13C2DFA5"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Engagement in elaboration of vaccination action plan</w:t>
            </w:r>
          </w:p>
          <w:p w14:paraId="360A85B3"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4CB7E5D0"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Comprehensive information about COVID-19 spreading prevention measures </w:t>
            </w:r>
          </w:p>
          <w:p w14:paraId="45F848D5"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610EFF46"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tc>
        <w:tc>
          <w:tcPr>
            <w:tcW w:w="1863" w:type="dxa"/>
            <w:tcBorders>
              <w:top w:val="single" w:sz="4" w:space="0" w:color="auto"/>
              <w:bottom w:val="single" w:sz="4" w:space="0" w:color="auto"/>
            </w:tcBorders>
          </w:tcPr>
          <w:p w14:paraId="17640FDA"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NGOs awareness of all stages of Project implementation</w:t>
            </w:r>
          </w:p>
        </w:tc>
        <w:tc>
          <w:tcPr>
            <w:tcW w:w="2962" w:type="dxa"/>
            <w:tcBorders>
              <w:top w:val="single" w:sz="4" w:space="0" w:color="auto"/>
              <w:bottom w:val="single" w:sz="4" w:space="0" w:color="auto"/>
            </w:tcBorders>
          </w:tcPr>
          <w:p w14:paraId="74C0D57D" w14:textId="77777777" w:rsidR="007518F8" w:rsidRPr="00316EEC" w:rsidRDefault="007518F8" w:rsidP="00316EEC">
            <w:pPr>
              <w:ind w:left="142"/>
              <w:rPr>
                <w:rFonts w:ascii="Times New Roman" w:hAnsi="Times New Roman" w:cs="Times New Roman"/>
                <w:sz w:val="20"/>
                <w:szCs w:val="20"/>
              </w:rPr>
            </w:pPr>
            <w:r w:rsidRPr="00316EEC">
              <w:rPr>
                <w:rFonts w:ascii="Times New Roman" w:hAnsi="Times New Roman" w:cs="Times New Roman"/>
                <w:sz w:val="20"/>
                <w:szCs w:val="20"/>
              </w:rPr>
              <w:t>Letters, virtual meetings and consultations, workshops, online questionary for obtaining feedback</w:t>
            </w:r>
          </w:p>
        </w:tc>
      </w:tr>
      <w:tr w:rsidR="00D438DE" w:rsidRPr="00316EEC" w14:paraId="1E83766B" w14:textId="77777777" w:rsidTr="005E7562">
        <w:trPr>
          <w:gridAfter w:val="1"/>
          <w:wAfter w:w="17" w:type="dxa"/>
          <w:trHeight w:val="155"/>
        </w:trPr>
        <w:tc>
          <w:tcPr>
            <w:tcW w:w="1980" w:type="dxa"/>
            <w:tcBorders>
              <w:top w:val="single" w:sz="4" w:space="0" w:color="auto"/>
            </w:tcBorders>
          </w:tcPr>
          <w:p w14:paraId="1F60416C" w14:textId="77777777" w:rsidR="007518F8" w:rsidRPr="00316EEC" w:rsidRDefault="007518F8" w:rsidP="00316EEC">
            <w:pPr>
              <w:autoSpaceDE w:val="0"/>
              <w:autoSpaceDN w:val="0"/>
              <w:adjustRightInd w:val="0"/>
              <w:ind w:left="142"/>
              <w:rPr>
                <w:rFonts w:ascii="Times New Roman" w:hAnsi="Times New Roman" w:cs="Times New Roman"/>
                <w:bCs/>
                <w:sz w:val="20"/>
                <w:szCs w:val="20"/>
              </w:rPr>
            </w:pPr>
            <w:r w:rsidRPr="00316EEC">
              <w:rPr>
                <w:rFonts w:ascii="Times New Roman" w:hAnsi="Times New Roman" w:cs="Times New Roman"/>
                <w:bCs/>
                <w:sz w:val="20"/>
                <w:szCs w:val="20"/>
              </w:rPr>
              <w:t>Public in general</w:t>
            </w:r>
          </w:p>
        </w:tc>
        <w:tc>
          <w:tcPr>
            <w:tcW w:w="1709" w:type="dxa"/>
            <w:tcBorders>
              <w:top w:val="single" w:sz="4" w:space="0" w:color="auto"/>
            </w:tcBorders>
          </w:tcPr>
          <w:p w14:paraId="4ABA8E2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Population of Ukraine</w:t>
            </w:r>
          </w:p>
        </w:tc>
        <w:tc>
          <w:tcPr>
            <w:tcW w:w="1763" w:type="dxa"/>
            <w:tcBorders>
              <w:top w:val="single" w:sz="4" w:space="0" w:color="auto"/>
            </w:tcBorders>
          </w:tcPr>
          <w:p w14:paraId="71ED01D4"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Updated and reliable</w:t>
            </w:r>
          </w:p>
          <w:p w14:paraId="2C6C05A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on the current</w:t>
            </w:r>
          </w:p>
          <w:p w14:paraId="47226170"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situation to reduce</w:t>
            </w:r>
          </w:p>
          <w:p w14:paraId="0D00EA3F"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dissemination of false rumors</w:t>
            </w:r>
          </w:p>
          <w:p w14:paraId="77271D38"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and panic</w:t>
            </w:r>
          </w:p>
          <w:p w14:paraId="3298DF3C"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2DB8DE3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The communication about necessity of social distancing and prevention measures of COVID-19 spreading</w:t>
            </w:r>
          </w:p>
          <w:p w14:paraId="28326AAE"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3133689B"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 xml:space="preserve">Communication about source of vaccines, safety and necessity of vaccination </w:t>
            </w:r>
          </w:p>
          <w:p w14:paraId="1C40E285" w14:textId="77777777" w:rsidR="007518F8" w:rsidRPr="00316EEC" w:rsidRDefault="007518F8" w:rsidP="00316EEC">
            <w:pPr>
              <w:autoSpaceDE w:val="0"/>
              <w:autoSpaceDN w:val="0"/>
              <w:adjustRightInd w:val="0"/>
              <w:ind w:left="142"/>
              <w:rPr>
                <w:rFonts w:ascii="Times New Roman" w:hAnsi="Times New Roman" w:cs="Times New Roman"/>
                <w:sz w:val="20"/>
                <w:szCs w:val="20"/>
              </w:rPr>
            </w:pPr>
          </w:p>
          <w:p w14:paraId="003EC47D"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Information about Project implementation</w:t>
            </w:r>
          </w:p>
        </w:tc>
        <w:tc>
          <w:tcPr>
            <w:tcW w:w="1863" w:type="dxa"/>
            <w:tcBorders>
              <w:top w:val="single" w:sz="4" w:space="0" w:color="auto"/>
            </w:tcBorders>
          </w:tcPr>
          <w:p w14:paraId="03049D6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Daytime</w:t>
            </w:r>
          </w:p>
          <w:p w14:paraId="6317D994"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communications,</w:t>
            </w:r>
          </w:p>
          <w:p w14:paraId="2502E476"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diverse</w:t>
            </w:r>
          </w:p>
          <w:p w14:paraId="7B035762"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communication</w:t>
            </w:r>
          </w:p>
          <w:p w14:paraId="4A3C469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channels, easy to</w:t>
            </w:r>
          </w:p>
          <w:p w14:paraId="056D99D4"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understand tips, large</w:t>
            </w:r>
          </w:p>
          <w:p w14:paraId="58B3149C" w14:textId="77777777" w:rsidR="007518F8" w:rsidRPr="00316EEC" w:rsidRDefault="007518F8"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print-outs</w:t>
            </w:r>
          </w:p>
        </w:tc>
        <w:tc>
          <w:tcPr>
            <w:tcW w:w="2962" w:type="dxa"/>
            <w:tcBorders>
              <w:top w:val="single" w:sz="4" w:space="0" w:color="auto"/>
            </w:tcBorders>
          </w:tcPr>
          <w:p w14:paraId="692A8028" w14:textId="118F5856" w:rsidR="007518F8" w:rsidRPr="00316EEC" w:rsidRDefault="00BD3761" w:rsidP="00316EEC">
            <w:pPr>
              <w:ind w:left="142"/>
              <w:rPr>
                <w:rFonts w:ascii="Times New Roman" w:hAnsi="Times New Roman" w:cs="Times New Roman"/>
                <w:sz w:val="20"/>
                <w:szCs w:val="20"/>
              </w:rPr>
            </w:pPr>
            <w:r w:rsidRPr="00BD3761">
              <w:rPr>
                <w:rFonts w:ascii="Times New Roman" w:hAnsi="Times New Roman" w:cs="Times New Roman"/>
                <w:sz w:val="20"/>
                <w:szCs w:val="20"/>
              </w:rPr>
              <w:t xml:space="preserve">Communication materials in local languages for information outreach such as </w:t>
            </w:r>
            <w:r>
              <w:rPr>
                <w:rFonts w:ascii="Times New Roman" w:hAnsi="Times New Roman" w:cs="Times New Roman"/>
                <w:sz w:val="20"/>
                <w:szCs w:val="20"/>
              </w:rPr>
              <w:t>i</w:t>
            </w:r>
            <w:r w:rsidR="007518F8" w:rsidRPr="00316EEC">
              <w:rPr>
                <w:rFonts w:ascii="Times New Roman" w:hAnsi="Times New Roman" w:cs="Times New Roman"/>
                <w:sz w:val="20"/>
                <w:szCs w:val="20"/>
              </w:rPr>
              <w:t>nformation in Media; on official websites; social media; viber/telegram MOH channel Covid-19; contact center MOH on Covid-19.</w:t>
            </w:r>
          </w:p>
        </w:tc>
      </w:tr>
    </w:tbl>
    <w:p w14:paraId="1C4E2869" w14:textId="077C9DCB" w:rsidR="00BE4B5F" w:rsidRPr="007518F8" w:rsidRDefault="00BE4B5F" w:rsidP="00316EEC">
      <w:pPr>
        <w:ind w:left="142"/>
        <w:rPr>
          <w:rFonts w:ascii="Times New Roman" w:hAnsi="Times New Roman" w:cs="Times New Roman"/>
          <w:sz w:val="24"/>
          <w:szCs w:val="24"/>
        </w:rPr>
      </w:pPr>
    </w:p>
    <w:p w14:paraId="4B44C817" w14:textId="7E57D601" w:rsidR="00464E95" w:rsidRPr="007518F8" w:rsidRDefault="00007F9F" w:rsidP="00316EEC">
      <w:pPr>
        <w:ind w:left="142"/>
        <w:rPr>
          <w:rFonts w:ascii="Times New Roman" w:hAnsi="Times New Roman" w:cs="Times New Roman"/>
          <w:sz w:val="24"/>
          <w:szCs w:val="24"/>
        </w:rPr>
      </w:pPr>
      <w:r w:rsidRPr="007518F8">
        <w:rPr>
          <w:rFonts w:ascii="Times New Roman" w:hAnsi="Times New Roman" w:cs="Times New Roman"/>
          <w:sz w:val="24"/>
          <w:szCs w:val="24"/>
        </w:rPr>
        <w:t>Based on the declared components and the expectations of stakeholders, the Ministry of Health proposes the following stakeholder consultation method</w:t>
      </w:r>
      <w:r w:rsidR="003149CD" w:rsidRPr="007518F8">
        <w:rPr>
          <w:rFonts w:ascii="Times New Roman" w:hAnsi="Times New Roman" w:cs="Times New Roman"/>
          <w:sz w:val="24"/>
          <w:szCs w:val="24"/>
        </w:rPr>
        <w:t>s</w:t>
      </w:r>
      <w:r w:rsidRPr="007518F8">
        <w:rPr>
          <w:rFonts w:ascii="Times New Roman" w:hAnsi="Times New Roman" w:cs="Times New Roman"/>
          <w:sz w:val="24"/>
          <w:szCs w:val="24"/>
        </w:rPr>
        <w:t xml:space="preserve"> will be applied for the Project implementation stage</w:t>
      </w:r>
      <w:r w:rsidR="004B150B" w:rsidRPr="007518F8">
        <w:rPr>
          <w:rFonts w:ascii="Times New Roman" w:hAnsi="Times New Roman" w:cs="Times New Roman"/>
          <w:sz w:val="24"/>
          <w:szCs w:val="24"/>
        </w:rPr>
        <w:t>.</w:t>
      </w:r>
    </w:p>
    <w:p w14:paraId="71AA6280" w14:textId="7C07AD7A" w:rsidR="00007F9F" w:rsidRPr="007518F8" w:rsidRDefault="00007F9F" w:rsidP="00316EEC">
      <w:pPr>
        <w:ind w:left="142"/>
        <w:rPr>
          <w:rFonts w:ascii="Times New Roman" w:hAnsi="Times New Roman" w:cs="Times New Roman"/>
          <w:sz w:val="24"/>
          <w:szCs w:val="24"/>
        </w:rPr>
      </w:pPr>
      <w:r w:rsidRPr="007518F8">
        <w:rPr>
          <w:rFonts w:ascii="Times New Roman" w:hAnsi="Times New Roman" w:cs="Times New Roman"/>
          <w:sz w:val="24"/>
          <w:szCs w:val="24"/>
        </w:rPr>
        <w:t xml:space="preserve">Table 2. Stakeholder consultation methods proposed during implementation stage </w:t>
      </w:r>
    </w:p>
    <w:tbl>
      <w:tblPr>
        <w:tblStyle w:val="ac"/>
        <w:tblW w:w="10343" w:type="dxa"/>
        <w:tblLayout w:type="fixed"/>
        <w:tblLook w:val="04A0" w:firstRow="1" w:lastRow="0" w:firstColumn="1" w:lastColumn="0" w:noHBand="0" w:noVBand="1"/>
      </w:tblPr>
      <w:tblGrid>
        <w:gridCol w:w="1270"/>
        <w:gridCol w:w="1559"/>
        <w:gridCol w:w="2553"/>
        <w:gridCol w:w="425"/>
        <w:gridCol w:w="1276"/>
        <w:gridCol w:w="1559"/>
        <w:gridCol w:w="1701"/>
      </w:tblGrid>
      <w:tr w:rsidR="007518F8" w:rsidRPr="00316EEC" w14:paraId="330D0DF2" w14:textId="77777777" w:rsidTr="007518F8">
        <w:tc>
          <w:tcPr>
            <w:tcW w:w="1270" w:type="dxa"/>
          </w:tcPr>
          <w:p w14:paraId="3091BD9D" w14:textId="77777777" w:rsidR="00007F9F" w:rsidRPr="00316EEC" w:rsidRDefault="00007F9F" w:rsidP="00316EEC">
            <w:pPr>
              <w:ind w:left="142"/>
              <w:rPr>
                <w:rFonts w:ascii="Times New Roman" w:hAnsi="Times New Roman" w:cs="Times New Roman"/>
                <w:b/>
                <w:sz w:val="20"/>
                <w:szCs w:val="20"/>
              </w:rPr>
            </w:pPr>
            <w:r w:rsidRPr="00316EEC">
              <w:rPr>
                <w:rFonts w:ascii="Times New Roman" w:hAnsi="Times New Roman" w:cs="Times New Roman"/>
                <w:b/>
                <w:sz w:val="20"/>
                <w:szCs w:val="20"/>
              </w:rPr>
              <w:t>Consultation level</w:t>
            </w:r>
          </w:p>
        </w:tc>
        <w:tc>
          <w:tcPr>
            <w:tcW w:w="1559" w:type="dxa"/>
          </w:tcPr>
          <w:p w14:paraId="62240647" w14:textId="77777777" w:rsidR="00007F9F" w:rsidRPr="00316EEC" w:rsidRDefault="00007F9F" w:rsidP="00316EEC">
            <w:pPr>
              <w:ind w:left="142"/>
              <w:rPr>
                <w:rFonts w:ascii="Times New Roman" w:hAnsi="Times New Roman" w:cs="Times New Roman"/>
                <w:b/>
                <w:sz w:val="20"/>
                <w:szCs w:val="20"/>
              </w:rPr>
            </w:pPr>
            <w:r w:rsidRPr="00316EEC">
              <w:rPr>
                <w:rFonts w:ascii="Times New Roman" w:hAnsi="Times New Roman" w:cs="Times New Roman"/>
                <w:b/>
                <w:sz w:val="20"/>
                <w:szCs w:val="20"/>
              </w:rPr>
              <w:t xml:space="preserve">Topic of consultation </w:t>
            </w:r>
          </w:p>
        </w:tc>
        <w:tc>
          <w:tcPr>
            <w:tcW w:w="2553" w:type="dxa"/>
          </w:tcPr>
          <w:p w14:paraId="1B11AE42" w14:textId="77777777" w:rsidR="00007F9F" w:rsidRPr="00316EEC" w:rsidRDefault="00007F9F" w:rsidP="00316EEC">
            <w:pPr>
              <w:ind w:left="142"/>
              <w:rPr>
                <w:rFonts w:ascii="Times New Roman" w:hAnsi="Times New Roman" w:cs="Times New Roman"/>
                <w:b/>
                <w:sz w:val="20"/>
                <w:szCs w:val="20"/>
              </w:rPr>
            </w:pPr>
            <w:r w:rsidRPr="00316EEC">
              <w:rPr>
                <w:rFonts w:ascii="Times New Roman" w:hAnsi="Times New Roman" w:cs="Times New Roman"/>
                <w:b/>
                <w:sz w:val="20"/>
                <w:szCs w:val="20"/>
              </w:rPr>
              <w:t>Method</w:t>
            </w:r>
          </w:p>
        </w:tc>
        <w:tc>
          <w:tcPr>
            <w:tcW w:w="1701" w:type="dxa"/>
            <w:gridSpan w:val="2"/>
          </w:tcPr>
          <w:p w14:paraId="1056D300" w14:textId="77777777" w:rsidR="00007F9F" w:rsidRPr="00316EEC" w:rsidRDefault="00007F9F" w:rsidP="00316EEC">
            <w:pPr>
              <w:ind w:left="142"/>
              <w:rPr>
                <w:rFonts w:ascii="Times New Roman" w:hAnsi="Times New Roman" w:cs="Times New Roman"/>
                <w:b/>
                <w:sz w:val="20"/>
                <w:szCs w:val="20"/>
              </w:rPr>
            </w:pPr>
            <w:r w:rsidRPr="00316EEC">
              <w:rPr>
                <w:rFonts w:ascii="Times New Roman" w:hAnsi="Times New Roman" w:cs="Times New Roman"/>
                <w:b/>
                <w:sz w:val="20"/>
                <w:szCs w:val="20"/>
              </w:rPr>
              <w:t>Timeframe</w:t>
            </w:r>
          </w:p>
        </w:tc>
        <w:tc>
          <w:tcPr>
            <w:tcW w:w="1559" w:type="dxa"/>
          </w:tcPr>
          <w:p w14:paraId="6DE9633D" w14:textId="77777777" w:rsidR="00007F9F" w:rsidRPr="00316EEC" w:rsidRDefault="00007F9F" w:rsidP="00316EEC">
            <w:pPr>
              <w:ind w:left="142"/>
              <w:rPr>
                <w:rFonts w:ascii="Times New Roman" w:hAnsi="Times New Roman" w:cs="Times New Roman"/>
                <w:b/>
                <w:sz w:val="20"/>
                <w:szCs w:val="20"/>
              </w:rPr>
            </w:pPr>
            <w:r w:rsidRPr="00316EEC">
              <w:rPr>
                <w:rFonts w:ascii="Times New Roman" w:hAnsi="Times New Roman" w:cs="Times New Roman"/>
                <w:b/>
                <w:sz w:val="20"/>
                <w:szCs w:val="20"/>
              </w:rPr>
              <w:t>Target stakeholder`s group</w:t>
            </w:r>
          </w:p>
        </w:tc>
        <w:tc>
          <w:tcPr>
            <w:tcW w:w="1701" w:type="dxa"/>
          </w:tcPr>
          <w:p w14:paraId="2D911CDD" w14:textId="77777777" w:rsidR="00007F9F" w:rsidRPr="00316EEC" w:rsidRDefault="00007F9F" w:rsidP="00316EEC">
            <w:pPr>
              <w:ind w:left="142"/>
              <w:rPr>
                <w:rFonts w:ascii="Times New Roman" w:hAnsi="Times New Roman" w:cs="Times New Roman"/>
                <w:b/>
                <w:sz w:val="20"/>
                <w:szCs w:val="20"/>
              </w:rPr>
            </w:pPr>
            <w:r w:rsidRPr="00316EEC">
              <w:rPr>
                <w:rFonts w:ascii="Times New Roman" w:hAnsi="Times New Roman" w:cs="Times New Roman"/>
                <w:b/>
                <w:sz w:val="20"/>
                <w:szCs w:val="20"/>
              </w:rPr>
              <w:t>Responsibility</w:t>
            </w:r>
          </w:p>
        </w:tc>
      </w:tr>
      <w:tr w:rsidR="007518F8" w:rsidRPr="00316EEC" w14:paraId="76B3F04B" w14:textId="77777777" w:rsidTr="007518F8">
        <w:tc>
          <w:tcPr>
            <w:tcW w:w="1270" w:type="dxa"/>
          </w:tcPr>
          <w:p w14:paraId="5ED2FD05" w14:textId="5E274632" w:rsidR="00946F52" w:rsidRPr="00316EEC" w:rsidRDefault="00946F52" w:rsidP="00316EEC">
            <w:pPr>
              <w:ind w:left="142"/>
              <w:rPr>
                <w:rFonts w:ascii="Times New Roman" w:hAnsi="Times New Roman" w:cs="Times New Roman"/>
                <w:b/>
                <w:sz w:val="20"/>
                <w:szCs w:val="20"/>
              </w:rPr>
            </w:pPr>
            <w:r w:rsidRPr="00316EEC">
              <w:rPr>
                <w:rFonts w:ascii="Times New Roman" w:hAnsi="Times New Roman" w:cs="Times New Roman"/>
                <w:sz w:val="20"/>
                <w:szCs w:val="20"/>
              </w:rPr>
              <w:t>National and regional</w:t>
            </w:r>
          </w:p>
        </w:tc>
        <w:tc>
          <w:tcPr>
            <w:tcW w:w="1559" w:type="dxa"/>
          </w:tcPr>
          <w:p w14:paraId="5F418893" w14:textId="78FC7E2A" w:rsidR="00946F52" w:rsidRPr="00316EEC" w:rsidRDefault="00946F52" w:rsidP="00316EEC">
            <w:pPr>
              <w:ind w:left="142"/>
              <w:rPr>
                <w:rFonts w:ascii="Times New Roman" w:hAnsi="Times New Roman" w:cs="Times New Roman"/>
                <w:bCs/>
                <w:sz w:val="20"/>
                <w:szCs w:val="20"/>
              </w:rPr>
            </w:pPr>
            <w:r w:rsidRPr="00316EEC">
              <w:rPr>
                <w:rFonts w:ascii="Times New Roman" w:hAnsi="Times New Roman" w:cs="Times New Roman"/>
                <w:bCs/>
                <w:sz w:val="20"/>
                <w:szCs w:val="20"/>
              </w:rPr>
              <w:t xml:space="preserve">Stakeholders Engagement Plan </w:t>
            </w:r>
          </w:p>
        </w:tc>
        <w:tc>
          <w:tcPr>
            <w:tcW w:w="2553" w:type="dxa"/>
          </w:tcPr>
          <w:p w14:paraId="6C174033" w14:textId="4FCA7CB9" w:rsidR="00F0288A"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 xml:space="preserve">Emails, letters to stakeholders with appropriate background information and SEP, posting on </w:t>
            </w:r>
            <w:r w:rsidR="00F0288A" w:rsidRPr="00316EEC">
              <w:rPr>
                <w:rFonts w:ascii="Times New Roman" w:hAnsi="Times New Roman" w:cs="Times New Roman"/>
                <w:sz w:val="20"/>
                <w:szCs w:val="20"/>
              </w:rPr>
              <w:t>website/Facebook MOH/Project for feedback</w:t>
            </w:r>
          </w:p>
          <w:p w14:paraId="70214E7C" w14:textId="5306D0A6" w:rsidR="00946F52" w:rsidRPr="00316EEC" w:rsidRDefault="00946F52" w:rsidP="00316EEC">
            <w:pPr>
              <w:ind w:left="142"/>
              <w:rPr>
                <w:rFonts w:ascii="Times New Roman" w:hAnsi="Times New Roman" w:cs="Times New Roman"/>
                <w:b/>
                <w:sz w:val="20"/>
                <w:szCs w:val="20"/>
              </w:rPr>
            </w:pPr>
          </w:p>
        </w:tc>
        <w:tc>
          <w:tcPr>
            <w:tcW w:w="1701" w:type="dxa"/>
            <w:gridSpan w:val="2"/>
          </w:tcPr>
          <w:p w14:paraId="48CCD824" w14:textId="799FE668" w:rsidR="00946F52" w:rsidRPr="00316EEC" w:rsidRDefault="00946F52" w:rsidP="00316EEC">
            <w:pPr>
              <w:ind w:left="142"/>
              <w:rPr>
                <w:rFonts w:ascii="Times New Roman" w:hAnsi="Times New Roman" w:cs="Times New Roman"/>
                <w:b/>
                <w:sz w:val="20"/>
                <w:szCs w:val="20"/>
              </w:rPr>
            </w:pPr>
            <w:r w:rsidRPr="00316EEC">
              <w:rPr>
                <w:rFonts w:ascii="Times New Roman" w:hAnsi="Times New Roman" w:cs="Times New Roman"/>
                <w:color w:val="000000" w:themeColor="text1"/>
                <w:sz w:val="20"/>
                <w:szCs w:val="20"/>
              </w:rPr>
              <w:t>Prior to project effectiveness</w:t>
            </w:r>
          </w:p>
        </w:tc>
        <w:tc>
          <w:tcPr>
            <w:tcW w:w="1559" w:type="dxa"/>
          </w:tcPr>
          <w:p w14:paraId="758CC8E6" w14:textId="217F044A" w:rsidR="00946F52" w:rsidRPr="00316EEC" w:rsidRDefault="00946F52" w:rsidP="00316EEC">
            <w:pPr>
              <w:ind w:left="142"/>
              <w:rPr>
                <w:rFonts w:ascii="Times New Roman" w:hAnsi="Times New Roman" w:cs="Times New Roman"/>
                <w:b/>
                <w:sz w:val="20"/>
                <w:szCs w:val="20"/>
              </w:rPr>
            </w:pPr>
            <w:r w:rsidRPr="00316EEC">
              <w:rPr>
                <w:rFonts w:ascii="Times New Roman" w:hAnsi="Times New Roman" w:cs="Times New Roman"/>
                <w:sz w:val="20"/>
                <w:szCs w:val="20"/>
              </w:rPr>
              <w:t>All groups of stakeholders</w:t>
            </w:r>
          </w:p>
        </w:tc>
        <w:tc>
          <w:tcPr>
            <w:tcW w:w="1701" w:type="dxa"/>
          </w:tcPr>
          <w:p w14:paraId="35040801" w14:textId="41FAB9A9" w:rsidR="00946F52" w:rsidRPr="00316EEC" w:rsidRDefault="00946F52" w:rsidP="00316EEC">
            <w:pPr>
              <w:ind w:left="142"/>
              <w:rPr>
                <w:rFonts w:ascii="Times New Roman" w:hAnsi="Times New Roman" w:cs="Times New Roman"/>
                <w:bCs/>
                <w:sz w:val="20"/>
                <w:szCs w:val="20"/>
              </w:rPr>
            </w:pPr>
            <w:r w:rsidRPr="00316EEC">
              <w:rPr>
                <w:rFonts w:ascii="Times New Roman" w:hAnsi="Times New Roman" w:cs="Times New Roman"/>
                <w:bCs/>
                <w:sz w:val="20"/>
                <w:szCs w:val="20"/>
              </w:rPr>
              <w:t>MOH and PIU</w:t>
            </w:r>
          </w:p>
        </w:tc>
      </w:tr>
      <w:tr w:rsidR="007518F8" w:rsidRPr="00316EEC" w14:paraId="3634805E" w14:textId="77777777" w:rsidTr="007518F8">
        <w:tc>
          <w:tcPr>
            <w:tcW w:w="1270" w:type="dxa"/>
          </w:tcPr>
          <w:p w14:paraId="27F16A55" w14:textId="5C4721DC" w:rsidR="00946F52" w:rsidRPr="00316EEC" w:rsidRDefault="00946F52" w:rsidP="00316EEC">
            <w:pPr>
              <w:ind w:left="142"/>
              <w:rPr>
                <w:rFonts w:ascii="Times New Roman" w:hAnsi="Times New Roman" w:cs="Times New Roman"/>
                <w:b/>
                <w:sz w:val="20"/>
                <w:szCs w:val="20"/>
              </w:rPr>
            </w:pPr>
            <w:r w:rsidRPr="00316EEC">
              <w:rPr>
                <w:rFonts w:ascii="Times New Roman" w:hAnsi="Times New Roman" w:cs="Times New Roman"/>
                <w:sz w:val="20"/>
                <w:szCs w:val="20"/>
              </w:rPr>
              <w:t>National and regional</w:t>
            </w:r>
          </w:p>
        </w:tc>
        <w:tc>
          <w:tcPr>
            <w:tcW w:w="1559" w:type="dxa"/>
          </w:tcPr>
          <w:p w14:paraId="738902EA" w14:textId="73E3F8D1" w:rsidR="00946F52" w:rsidRPr="00316EEC" w:rsidRDefault="00946F52" w:rsidP="00316EEC">
            <w:pPr>
              <w:ind w:left="142"/>
              <w:rPr>
                <w:rFonts w:ascii="Times New Roman" w:hAnsi="Times New Roman" w:cs="Times New Roman"/>
                <w:bCs/>
                <w:sz w:val="20"/>
                <w:szCs w:val="20"/>
              </w:rPr>
            </w:pPr>
            <w:r w:rsidRPr="00316EEC">
              <w:rPr>
                <w:rFonts w:ascii="Times New Roman" w:hAnsi="Times New Roman" w:cs="Times New Roman"/>
                <w:bCs/>
                <w:sz w:val="20"/>
                <w:szCs w:val="20"/>
              </w:rPr>
              <w:t>GRM</w:t>
            </w:r>
          </w:p>
        </w:tc>
        <w:tc>
          <w:tcPr>
            <w:tcW w:w="2553" w:type="dxa"/>
          </w:tcPr>
          <w:p w14:paraId="5BBB24BC" w14:textId="49660422" w:rsidR="002E1F81" w:rsidRPr="00316EEC" w:rsidRDefault="002E1F81" w:rsidP="00316EEC">
            <w:pPr>
              <w:ind w:left="142"/>
              <w:rPr>
                <w:rFonts w:ascii="Times New Roman" w:hAnsi="Times New Roman" w:cs="Times New Roman"/>
                <w:sz w:val="20"/>
                <w:szCs w:val="20"/>
              </w:rPr>
            </w:pPr>
            <w:r w:rsidRPr="00316EEC">
              <w:rPr>
                <w:rFonts w:ascii="Times New Roman" w:hAnsi="Times New Roman" w:cs="Times New Roman"/>
                <w:sz w:val="20"/>
                <w:szCs w:val="20"/>
              </w:rPr>
              <w:t>P</w:t>
            </w:r>
            <w:r w:rsidR="00946F52" w:rsidRPr="00316EEC">
              <w:rPr>
                <w:rFonts w:ascii="Times New Roman" w:hAnsi="Times New Roman" w:cs="Times New Roman"/>
                <w:sz w:val="20"/>
                <w:szCs w:val="20"/>
              </w:rPr>
              <w:t>osting</w:t>
            </w:r>
            <w:r w:rsidRPr="00316EEC">
              <w:rPr>
                <w:rFonts w:ascii="Times New Roman" w:hAnsi="Times New Roman" w:cs="Times New Roman"/>
                <w:sz w:val="20"/>
                <w:szCs w:val="20"/>
              </w:rPr>
              <w:t xml:space="preserve"> information about GRM  and channels for submitting of appeals </w:t>
            </w:r>
            <w:r w:rsidR="00946F52" w:rsidRPr="00316EEC">
              <w:rPr>
                <w:rFonts w:ascii="Times New Roman" w:hAnsi="Times New Roman" w:cs="Times New Roman"/>
                <w:sz w:val="20"/>
                <w:szCs w:val="20"/>
              </w:rPr>
              <w:t xml:space="preserve"> on </w:t>
            </w:r>
            <w:r w:rsidR="00F0288A" w:rsidRPr="00316EEC">
              <w:rPr>
                <w:rFonts w:ascii="Times New Roman" w:hAnsi="Times New Roman" w:cs="Times New Roman"/>
                <w:sz w:val="20"/>
                <w:szCs w:val="20"/>
              </w:rPr>
              <w:t>website/Facebook MOH/</w:t>
            </w:r>
            <w:r w:rsidRPr="00316EEC">
              <w:rPr>
                <w:rFonts w:ascii="Times New Roman" w:hAnsi="Times New Roman" w:cs="Times New Roman"/>
                <w:sz w:val="20"/>
                <w:szCs w:val="20"/>
              </w:rPr>
              <w:t>on MOH regional departments websites and healthcare facilities informational boards</w:t>
            </w:r>
          </w:p>
          <w:p w14:paraId="1D2F4D91" w14:textId="77777777" w:rsidR="002E1F81" w:rsidRPr="00316EEC" w:rsidRDefault="002E1F81" w:rsidP="00316EEC">
            <w:pPr>
              <w:ind w:left="142"/>
              <w:rPr>
                <w:rFonts w:ascii="Times New Roman" w:hAnsi="Times New Roman" w:cs="Times New Roman"/>
                <w:sz w:val="20"/>
                <w:szCs w:val="20"/>
              </w:rPr>
            </w:pPr>
          </w:p>
          <w:p w14:paraId="5C09E110" w14:textId="09E84816" w:rsidR="00F0288A" w:rsidRPr="00316EEC" w:rsidRDefault="002E1F81" w:rsidP="00316EEC">
            <w:pPr>
              <w:ind w:left="142"/>
              <w:rPr>
                <w:rFonts w:ascii="Times New Roman" w:hAnsi="Times New Roman" w:cs="Times New Roman"/>
                <w:sz w:val="20"/>
                <w:szCs w:val="20"/>
              </w:rPr>
            </w:pPr>
            <w:r w:rsidRPr="00316EEC">
              <w:rPr>
                <w:rFonts w:ascii="Times New Roman" w:hAnsi="Times New Roman" w:cs="Times New Roman"/>
                <w:sz w:val="20"/>
                <w:szCs w:val="20"/>
              </w:rPr>
              <w:t>MOH COVID -19 hotline</w:t>
            </w:r>
          </w:p>
          <w:p w14:paraId="6A3F134B" w14:textId="77777777" w:rsidR="004B150B" w:rsidRPr="00316EEC" w:rsidRDefault="004B150B" w:rsidP="00316EEC">
            <w:pPr>
              <w:ind w:left="142"/>
              <w:rPr>
                <w:rFonts w:ascii="Times New Roman" w:hAnsi="Times New Roman" w:cs="Times New Roman"/>
                <w:sz w:val="20"/>
                <w:szCs w:val="20"/>
              </w:rPr>
            </w:pPr>
          </w:p>
          <w:p w14:paraId="6A41B089" w14:textId="020C1CBA" w:rsidR="00946F52" w:rsidRPr="00316EEC" w:rsidRDefault="00946F52" w:rsidP="00316EEC">
            <w:pPr>
              <w:ind w:left="142"/>
              <w:rPr>
                <w:rFonts w:ascii="Times New Roman" w:hAnsi="Times New Roman" w:cs="Times New Roman"/>
                <w:b/>
                <w:sz w:val="20"/>
                <w:szCs w:val="20"/>
              </w:rPr>
            </w:pPr>
          </w:p>
        </w:tc>
        <w:tc>
          <w:tcPr>
            <w:tcW w:w="1701" w:type="dxa"/>
            <w:gridSpan w:val="2"/>
          </w:tcPr>
          <w:p w14:paraId="751E5667" w14:textId="2F222F56" w:rsidR="00176C98" w:rsidRPr="00316EEC" w:rsidRDefault="00176C98" w:rsidP="00316EEC">
            <w:pPr>
              <w:ind w:left="142"/>
              <w:rPr>
                <w:rFonts w:ascii="Times New Roman" w:hAnsi="Times New Roman" w:cs="Times New Roman"/>
                <w:color w:val="000000" w:themeColor="text1"/>
                <w:sz w:val="20"/>
                <w:szCs w:val="20"/>
              </w:rPr>
            </w:pPr>
            <w:r w:rsidRPr="00316EEC">
              <w:rPr>
                <w:rFonts w:ascii="Times New Roman" w:hAnsi="Times New Roman" w:cs="Times New Roman"/>
                <w:color w:val="000000" w:themeColor="text1"/>
                <w:sz w:val="20"/>
                <w:szCs w:val="20"/>
              </w:rPr>
              <w:t xml:space="preserve">During all stages of Project </w:t>
            </w:r>
          </w:p>
        </w:tc>
        <w:tc>
          <w:tcPr>
            <w:tcW w:w="1559" w:type="dxa"/>
          </w:tcPr>
          <w:p w14:paraId="27E59712" w14:textId="20D44973" w:rsidR="00946F52" w:rsidRPr="00316EEC" w:rsidRDefault="00946F52" w:rsidP="00316EEC">
            <w:pPr>
              <w:ind w:left="142"/>
              <w:rPr>
                <w:rFonts w:ascii="Times New Roman" w:hAnsi="Times New Roman" w:cs="Times New Roman"/>
                <w:b/>
                <w:sz w:val="20"/>
                <w:szCs w:val="20"/>
              </w:rPr>
            </w:pPr>
            <w:r w:rsidRPr="00316EEC">
              <w:rPr>
                <w:rFonts w:ascii="Times New Roman" w:hAnsi="Times New Roman" w:cs="Times New Roman"/>
                <w:sz w:val="20"/>
                <w:szCs w:val="20"/>
              </w:rPr>
              <w:t>All groups of stakeholders</w:t>
            </w:r>
          </w:p>
        </w:tc>
        <w:tc>
          <w:tcPr>
            <w:tcW w:w="1701" w:type="dxa"/>
          </w:tcPr>
          <w:p w14:paraId="3059486E" w14:textId="77777777" w:rsidR="00946F52" w:rsidRPr="00316EEC" w:rsidRDefault="00946F52" w:rsidP="00316EEC">
            <w:pPr>
              <w:ind w:left="142"/>
              <w:rPr>
                <w:rFonts w:ascii="Times New Roman" w:hAnsi="Times New Roman" w:cs="Times New Roman"/>
                <w:bCs/>
                <w:sz w:val="20"/>
                <w:szCs w:val="20"/>
              </w:rPr>
            </w:pPr>
            <w:r w:rsidRPr="00316EEC">
              <w:rPr>
                <w:rFonts w:ascii="Times New Roman" w:hAnsi="Times New Roman" w:cs="Times New Roman"/>
                <w:bCs/>
                <w:sz w:val="20"/>
                <w:szCs w:val="20"/>
              </w:rPr>
              <w:t>MOH and PIU</w:t>
            </w:r>
          </w:p>
          <w:p w14:paraId="6C3C6B24" w14:textId="77777777" w:rsidR="002E1F81" w:rsidRPr="00316EEC" w:rsidRDefault="002E1F81" w:rsidP="00316EEC">
            <w:pPr>
              <w:ind w:left="142"/>
              <w:rPr>
                <w:rFonts w:ascii="Times New Roman" w:hAnsi="Times New Roman" w:cs="Times New Roman"/>
                <w:bCs/>
                <w:sz w:val="20"/>
                <w:szCs w:val="20"/>
              </w:rPr>
            </w:pPr>
          </w:p>
          <w:p w14:paraId="2DE14583" w14:textId="60FFCE2F" w:rsidR="002E1F81" w:rsidRPr="00316EEC" w:rsidRDefault="002E1F81" w:rsidP="00316EEC">
            <w:pPr>
              <w:ind w:left="142"/>
              <w:rPr>
                <w:rFonts w:ascii="Times New Roman" w:hAnsi="Times New Roman" w:cs="Times New Roman"/>
                <w:bCs/>
                <w:sz w:val="20"/>
                <w:szCs w:val="20"/>
              </w:rPr>
            </w:pPr>
            <w:r w:rsidRPr="00316EEC">
              <w:rPr>
                <w:rFonts w:ascii="Times New Roman" w:hAnsi="Times New Roman" w:cs="Times New Roman"/>
                <w:bCs/>
                <w:sz w:val="20"/>
                <w:szCs w:val="20"/>
              </w:rPr>
              <w:t>Special designated focal point for GRM handling, addressing and reporting</w:t>
            </w:r>
          </w:p>
        </w:tc>
      </w:tr>
      <w:tr w:rsidR="00946F52" w:rsidRPr="00316EEC" w14:paraId="5B8795EA" w14:textId="77777777" w:rsidTr="007518F8">
        <w:tc>
          <w:tcPr>
            <w:tcW w:w="10343" w:type="dxa"/>
            <w:gridSpan w:val="7"/>
            <w:shd w:val="clear" w:color="auto" w:fill="D9D9D9" w:themeFill="background1" w:themeFillShade="D9"/>
          </w:tcPr>
          <w:p w14:paraId="20B1AEB2" w14:textId="7C698627" w:rsidR="00946F52" w:rsidRPr="00316EEC" w:rsidRDefault="00B217BB" w:rsidP="00316EEC">
            <w:pPr>
              <w:ind w:left="142"/>
              <w:rPr>
                <w:rFonts w:ascii="Times New Roman" w:hAnsi="Times New Roman" w:cs="Times New Roman"/>
                <w:b/>
                <w:sz w:val="20"/>
                <w:szCs w:val="20"/>
              </w:rPr>
            </w:pPr>
            <w:r w:rsidRPr="00316EEC">
              <w:rPr>
                <w:rFonts w:ascii="Times New Roman" w:hAnsi="Times New Roman" w:cs="Times New Roman"/>
                <w:b/>
                <w:sz w:val="20"/>
                <w:szCs w:val="20"/>
              </w:rPr>
              <w:t>Component 1 Strengthen public health system</w:t>
            </w:r>
          </w:p>
        </w:tc>
      </w:tr>
      <w:tr w:rsidR="00946F52" w:rsidRPr="00316EEC" w14:paraId="31471A5D" w14:textId="77777777" w:rsidTr="007518F8">
        <w:tc>
          <w:tcPr>
            <w:tcW w:w="10343" w:type="dxa"/>
            <w:gridSpan w:val="7"/>
            <w:shd w:val="clear" w:color="auto" w:fill="D9D9D9" w:themeFill="background1" w:themeFillShade="D9"/>
          </w:tcPr>
          <w:p w14:paraId="16DCD795" w14:textId="4C85A739" w:rsidR="00946F52" w:rsidRPr="00316EEC" w:rsidRDefault="000E4046" w:rsidP="00316EEC">
            <w:pPr>
              <w:ind w:left="142"/>
              <w:rPr>
                <w:rFonts w:ascii="Times New Roman" w:hAnsi="Times New Roman" w:cs="Times New Roman"/>
                <w:b/>
                <w:sz w:val="20"/>
                <w:szCs w:val="20"/>
              </w:rPr>
            </w:pPr>
            <w:r w:rsidRPr="00316EEC">
              <w:rPr>
                <w:rFonts w:ascii="Times New Roman" w:hAnsi="Times New Roman" w:cs="Times New Roman"/>
                <w:b/>
                <w:sz w:val="20"/>
                <w:szCs w:val="20"/>
              </w:rPr>
              <w:t>Subcomponent 1.2 COVID-19 testing</w:t>
            </w:r>
          </w:p>
        </w:tc>
      </w:tr>
      <w:tr w:rsidR="007518F8" w:rsidRPr="00316EEC" w14:paraId="204CD4DA" w14:textId="77777777" w:rsidTr="007518F8">
        <w:tc>
          <w:tcPr>
            <w:tcW w:w="1270" w:type="dxa"/>
          </w:tcPr>
          <w:p w14:paraId="0FCB3436" w14:textId="67DD197E"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National and regional</w:t>
            </w:r>
          </w:p>
        </w:tc>
        <w:tc>
          <w:tcPr>
            <w:tcW w:w="1559" w:type="dxa"/>
          </w:tcPr>
          <w:p w14:paraId="019EA79B" w14:textId="0B4B7ED0" w:rsidR="00946F52" w:rsidRPr="00316EEC" w:rsidRDefault="004E61FB" w:rsidP="00316EEC">
            <w:pPr>
              <w:ind w:left="142"/>
              <w:rPr>
                <w:rFonts w:ascii="Times New Roman" w:hAnsi="Times New Roman" w:cs="Times New Roman"/>
                <w:sz w:val="20"/>
                <w:szCs w:val="20"/>
              </w:rPr>
            </w:pPr>
            <w:r w:rsidRPr="00316EEC">
              <w:rPr>
                <w:rFonts w:ascii="Times New Roman" w:hAnsi="Times New Roman" w:cs="Times New Roman"/>
                <w:sz w:val="20"/>
                <w:szCs w:val="20"/>
              </w:rPr>
              <w:t>Continuation of ongoing measures implemented by the Ministry of Health to counter Covid-19 pandemic</w:t>
            </w:r>
          </w:p>
        </w:tc>
        <w:tc>
          <w:tcPr>
            <w:tcW w:w="2978" w:type="dxa"/>
            <w:gridSpan w:val="2"/>
          </w:tcPr>
          <w:p w14:paraId="7655A300" w14:textId="35A5AE33"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Virtual meetings</w:t>
            </w:r>
            <w:r w:rsidR="004E61FB" w:rsidRPr="00316EEC">
              <w:rPr>
                <w:rFonts w:ascii="Times New Roman" w:hAnsi="Times New Roman" w:cs="Times New Roman"/>
                <w:sz w:val="20"/>
                <w:szCs w:val="20"/>
              </w:rPr>
              <w:t>, Emails, letters to stakeholders with appropriate background information, posting on website/Facebook MOH/Project for feedback</w:t>
            </w:r>
            <w:r w:rsidR="00F0288A" w:rsidRPr="00316EEC">
              <w:rPr>
                <w:rFonts w:ascii="Times New Roman" w:hAnsi="Times New Roman" w:cs="Times New Roman"/>
                <w:sz w:val="20"/>
                <w:szCs w:val="20"/>
              </w:rPr>
              <w:t>, MOH hotline</w:t>
            </w:r>
          </w:p>
          <w:p w14:paraId="3E908A53" w14:textId="10EB818F" w:rsidR="004E61FB" w:rsidRPr="00316EEC" w:rsidRDefault="004E61FB" w:rsidP="00316EEC">
            <w:pPr>
              <w:ind w:left="142"/>
              <w:rPr>
                <w:rFonts w:ascii="Times New Roman" w:hAnsi="Times New Roman" w:cs="Times New Roman"/>
                <w:sz w:val="20"/>
                <w:szCs w:val="20"/>
              </w:rPr>
            </w:pPr>
          </w:p>
        </w:tc>
        <w:tc>
          <w:tcPr>
            <w:tcW w:w="1276" w:type="dxa"/>
          </w:tcPr>
          <w:p w14:paraId="3EC721C1" w14:textId="77777777" w:rsidR="00F0288A" w:rsidRPr="00316EEC" w:rsidRDefault="00F0288A" w:rsidP="00316EEC">
            <w:pPr>
              <w:ind w:left="142"/>
              <w:rPr>
                <w:rFonts w:ascii="Times New Roman" w:hAnsi="Times New Roman" w:cs="Times New Roman"/>
                <w:sz w:val="20"/>
                <w:szCs w:val="20"/>
              </w:rPr>
            </w:pPr>
            <w:r w:rsidRPr="00316EEC">
              <w:rPr>
                <w:rFonts w:ascii="Times New Roman" w:hAnsi="Times New Roman" w:cs="Times New Roman"/>
                <w:sz w:val="20"/>
                <w:szCs w:val="20"/>
              </w:rPr>
              <w:t>Project preparation stage – 4 months.</w:t>
            </w:r>
          </w:p>
          <w:p w14:paraId="4A1761A7" w14:textId="7866B670" w:rsidR="00946F52" w:rsidRPr="00316EEC" w:rsidRDefault="00F0288A" w:rsidP="00316EEC">
            <w:pPr>
              <w:ind w:left="142"/>
              <w:rPr>
                <w:rFonts w:ascii="Times New Roman" w:hAnsi="Times New Roman" w:cs="Times New Roman"/>
                <w:sz w:val="20"/>
                <w:szCs w:val="20"/>
              </w:rPr>
            </w:pPr>
            <w:r w:rsidRPr="00316EEC">
              <w:rPr>
                <w:rFonts w:ascii="Times New Roman" w:hAnsi="Times New Roman" w:cs="Times New Roman"/>
                <w:sz w:val="20"/>
                <w:szCs w:val="20"/>
              </w:rPr>
              <w:t>Project implementation is planned during 24 months from the effective date of the Project.</w:t>
            </w:r>
          </w:p>
        </w:tc>
        <w:tc>
          <w:tcPr>
            <w:tcW w:w="1559" w:type="dxa"/>
          </w:tcPr>
          <w:p w14:paraId="7E0A1E41" w14:textId="7477B574"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Media, NGOs, experts in healthcare sector</w:t>
            </w:r>
          </w:p>
        </w:tc>
        <w:tc>
          <w:tcPr>
            <w:tcW w:w="1701" w:type="dxa"/>
          </w:tcPr>
          <w:p w14:paraId="6537949A" w14:textId="2F4EC5D1" w:rsidR="00946F52" w:rsidRPr="00316EEC" w:rsidRDefault="00F0288A" w:rsidP="00316EEC">
            <w:pPr>
              <w:ind w:left="142"/>
              <w:rPr>
                <w:rFonts w:ascii="Times New Roman" w:hAnsi="Times New Roman" w:cs="Times New Roman"/>
                <w:sz w:val="20"/>
                <w:szCs w:val="20"/>
              </w:rPr>
            </w:pPr>
            <w:r w:rsidRPr="00316EEC">
              <w:rPr>
                <w:rFonts w:ascii="Times New Roman" w:hAnsi="Times New Roman" w:cs="Times New Roman"/>
                <w:sz w:val="20"/>
                <w:szCs w:val="20"/>
              </w:rPr>
              <w:t>MOH and PIU</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 xml:space="preserve"> Public Health Center, Regional Departments and other institutions to be determined</w:t>
            </w:r>
          </w:p>
        </w:tc>
      </w:tr>
      <w:tr w:rsidR="00946F52" w:rsidRPr="00316EEC" w14:paraId="6A96FA19" w14:textId="77777777" w:rsidTr="007518F8">
        <w:tc>
          <w:tcPr>
            <w:tcW w:w="10343" w:type="dxa"/>
            <w:gridSpan w:val="7"/>
          </w:tcPr>
          <w:p w14:paraId="7133C845" w14:textId="39E46551" w:rsidR="00946F52" w:rsidRPr="00316EEC" w:rsidRDefault="000E4046" w:rsidP="00316EEC">
            <w:pPr>
              <w:ind w:left="142"/>
              <w:rPr>
                <w:rFonts w:ascii="Times New Roman" w:hAnsi="Times New Roman" w:cs="Times New Roman"/>
                <w:sz w:val="20"/>
                <w:szCs w:val="20"/>
                <w:highlight w:val="magenta"/>
              </w:rPr>
            </w:pPr>
            <w:r w:rsidRPr="00316EEC">
              <w:rPr>
                <w:rFonts w:ascii="Times New Roman" w:hAnsi="Times New Roman" w:cs="Times New Roman"/>
                <w:b/>
                <w:sz w:val="20"/>
                <w:szCs w:val="20"/>
              </w:rPr>
              <w:t>Subcomponent 1.1 COVID-19 vaccination support</w:t>
            </w:r>
          </w:p>
        </w:tc>
      </w:tr>
      <w:tr w:rsidR="007518F8" w:rsidRPr="00316EEC" w14:paraId="4243906F" w14:textId="77777777" w:rsidTr="007518F8">
        <w:tc>
          <w:tcPr>
            <w:tcW w:w="1270" w:type="dxa"/>
          </w:tcPr>
          <w:p w14:paraId="0BF9FD2A" w14:textId="55AB9090"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National and regional</w:t>
            </w:r>
          </w:p>
        </w:tc>
        <w:tc>
          <w:tcPr>
            <w:tcW w:w="1559" w:type="dxa"/>
          </w:tcPr>
          <w:p w14:paraId="4E17DDFF" w14:textId="18C17A44" w:rsidR="00946F52" w:rsidRPr="00316EEC" w:rsidRDefault="00946F52" w:rsidP="00EF1D2F">
            <w:pPr>
              <w:pStyle w:val="a4"/>
              <w:numPr>
                <w:ilvl w:val="0"/>
                <w:numId w:val="8"/>
              </w:numPr>
              <w:tabs>
                <w:tab w:val="left" w:pos="161"/>
              </w:tabs>
              <w:ind w:left="142" w:firstLine="0"/>
              <w:rPr>
                <w:rFonts w:ascii="Times New Roman" w:hAnsi="Times New Roman" w:cs="Times New Roman"/>
                <w:sz w:val="20"/>
                <w:szCs w:val="20"/>
              </w:rPr>
            </w:pPr>
            <w:r w:rsidRPr="00316EEC">
              <w:rPr>
                <w:rFonts w:ascii="Times New Roman" w:hAnsi="Times New Roman" w:cs="Times New Roman"/>
                <w:sz w:val="20"/>
                <w:szCs w:val="20"/>
              </w:rPr>
              <w:t>Purchase of the vaccine and its distribution to the end users when the vaccine becomes available</w:t>
            </w:r>
            <w:r w:rsidRPr="00316EEC">
              <w:rPr>
                <w:rFonts w:ascii="Times New Roman" w:hAnsi="Times New Roman" w:cs="Times New Roman"/>
                <w:sz w:val="20"/>
                <w:szCs w:val="20"/>
                <w:lang w:val="uk-UA"/>
              </w:rPr>
              <w:t>.</w:t>
            </w:r>
          </w:p>
          <w:p w14:paraId="4295537D" w14:textId="77777777" w:rsidR="00946F52" w:rsidRPr="00316EEC" w:rsidRDefault="00946F52" w:rsidP="00EF1D2F">
            <w:pPr>
              <w:pStyle w:val="a4"/>
              <w:numPr>
                <w:ilvl w:val="0"/>
                <w:numId w:val="8"/>
              </w:numPr>
              <w:tabs>
                <w:tab w:val="left" w:pos="171"/>
              </w:tabs>
              <w:ind w:left="142" w:firstLine="0"/>
              <w:rPr>
                <w:rFonts w:ascii="Times New Roman" w:hAnsi="Times New Roman" w:cs="Times New Roman"/>
                <w:sz w:val="20"/>
                <w:szCs w:val="20"/>
              </w:rPr>
            </w:pPr>
            <w:r w:rsidRPr="00316EEC">
              <w:rPr>
                <w:rFonts w:ascii="Times New Roman" w:hAnsi="Times New Roman" w:cs="Times New Roman"/>
                <w:sz w:val="20"/>
                <w:szCs w:val="20"/>
              </w:rPr>
              <w:t>Development and implementation of information systems for effective accounting and control of vaccination</w:t>
            </w:r>
            <w:r w:rsidRPr="00316EEC">
              <w:rPr>
                <w:rFonts w:ascii="Times New Roman" w:hAnsi="Times New Roman" w:cs="Times New Roman"/>
                <w:sz w:val="20"/>
                <w:szCs w:val="20"/>
                <w:lang w:val="uk-UA"/>
              </w:rPr>
              <w:t>.</w:t>
            </w:r>
          </w:p>
          <w:p w14:paraId="5F845517" w14:textId="77777777" w:rsidR="00946F52" w:rsidRPr="00316EEC" w:rsidRDefault="00946F52" w:rsidP="00EF1D2F">
            <w:pPr>
              <w:pStyle w:val="a4"/>
              <w:numPr>
                <w:ilvl w:val="0"/>
                <w:numId w:val="8"/>
              </w:numPr>
              <w:tabs>
                <w:tab w:val="left" w:pos="171"/>
              </w:tabs>
              <w:ind w:left="142" w:firstLine="0"/>
              <w:rPr>
                <w:rFonts w:ascii="Times New Roman" w:hAnsi="Times New Roman" w:cs="Times New Roman"/>
                <w:sz w:val="20"/>
                <w:szCs w:val="20"/>
              </w:rPr>
            </w:pPr>
            <w:r w:rsidRPr="00316EEC">
              <w:rPr>
                <w:rFonts w:ascii="Times New Roman" w:hAnsi="Times New Roman" w:cs="Times New Roman"/>
                <w:sz w:val="20"/>
                <w:szCs w:val="20"/>
              </w:rPr>
              <w:t>Improvement of medical waste management practices</w:t>
            </w:r>
            <w:r w:rsidRPr="00316EEC">
              <w:rPr>
                <w:rFonts w:ascii="Times New Roman" w:hAnsi="Times New Roman" w:cs="Times New Roman"/>
                <w:sz w:val="20"/>
                <w:szCs w:val="20"/>
                <w:lang w:val="uk-UA"/>
              </w:rPr>
              <w:t>.</w:t>
            </w:r>
          </w:p>
          <w:p w14:paraId="15A3FB77" w14:textId="77777777" w:rsidR="00946F52" w:rsidRPr="00316EEC" w:rsidRDefault="00946F52" w:rsidP="00EF1D2F">
            <w:pPr>
              <w:pStyle w:val="a4"/>
              <w:numPr>
                <w:ilvl w:val="0"/>
                <w:numId w:val="8"/>
              </w:numPr>
              <w:tabs>
                <w:tab w:val="left" w:pos="171"/>
              </w:tabs>
              <w:ind w:left="142" w:firstLine="0"/>
              <w:rPr>
                <w:rFonts w:ascii="Times New Roman" w:hAnsi="Times New Roman" w:cs="Times New Roman"/>
                <w:sz w:val="20"/>
                <w:szCs w:val="20"/>
              </w:rPr>
            </w:pPr>
            <w:r w:rsidRPr="00316EEC">
              <w:rPr>
                <w:rFonts w:ascii="Times New Roman" w:hAnsi="Times New Roman" w:cs="Times New Roman"/>
                <w:sz w:val="20"/>
                <w:szCs w:val="20"/>
              </w:rPr>
              <w:t>Information campaign for the population before vaccination.</w:t>
            </w:r>
          </w:p>
          <w:p w14:paraId="1071F6A6" w14:textId="7B57F03F" w:rsidR="00946F52" w:rsidRPr="00316EEC" w:rsidRDefault="00946F52" w:rsidP="00EF1D2F">
            <w:pPr>
              <w:pStyle w:val="a4"/>
              <w:numPr>
                <w:ilvl w:val="0"/>
                <w:numId w:val="8"/>
              </w:numPr>
              <w:tabs>
                <w:tab w:val="left" w:pos="171"/>
              </w:tabs>
              <w:ind w:left="142" w:firstLine="0"/>
              <w:rPr>
                <w:rFonts w:ascii="Times New Roman" w:hAnsi="Times New Roman" w:cs="Times New Roman"/>
                <w:sz w:val="20"/>
                <w:szCs w:val="20"/>
              </w:rPr>
            </w:pPr>
            <w:r w:rsidRPr="00316EEC">
              <w:rPr>
                <w:rFonts w:ascii="Times New Roman" w:hAnsi="Times New Roman" w:cs="Times New Roman"/>
                <w:sz w:val="20"/>
                <w:szCs w:val="20"/>
              </w:rPr>
              <w:t>Capacity building through staff training.</w:t>
            </w:r>
          </w:p>
        </w:tc>
        <w:tc>
          <w:tcPr>
            <w:tcW w:w="2978" w:type="dxa"/>
            <w:gridSpan w:val="2"/>
          </w:tcPr>
          <w:p w14:paraId="15AF8EE3" w14:textId="77777777" w:rsidR="00F0288A" w:rsidRPr="00316EEC" w:rsidRDefault="00F0288A" w:rsidP="00316EEC">
            <w:pPr>
              <w:ind w:left="142"/>
              <w:rPr>
                <w:rFonts w:ascii="Times New Roman" w:hAnsi="Times New Roman" w:cs="Times New Roman"/>
                <w:sz w:val="20"/>
                <w:szCs w:val="20"/>
              </w:rPr>
            </w:pPr>
            <w:r w:rsidRPr="00316EEC">
              <w:rPr>
                <w:rFonts w:ascii="Times New Roman" w:hAnsi="Times New Roman" w:cs="Times New Roman"/>
                <w:sz w:val="20"/>
                <w:szCs w:val="20"/>
              </w:rPr>
              <w:t>Virtual meetings, Emails, letters to stakeholders with appropriate background information, posting on website/Facebook MOH/Project for feedback, MOH hotline</w:t>
            </w:r>
          </w:p>
          <w:p w14:paraId="0B094D32" w14:textId="77777777" w:rsidR="00F0288A" w:rsidRPr="00316EEC" w:rsidRDefault="00F0288A" w:rsidP="00316EEC">
            <w:pPr>
              <w:ind w:left="142"/>
              <w:rPr>
                <w:rFonts w:ascii="Times New Roman" w:hAnsi="Times New Roman" w:cs="Times New Roman"/>
                <w:sz w:val="20"/>
                <w:szCs w:val="20"/>
              </w:rPr>
            </w:pPr>
          </w:p>
          <w:p w14:paraId="7F0FEF3B" w14:textId="1BE956FA" w:rsidR="00946F52" w:rsidRPr="00316EEC" w:rsidRDefault="00946F52" w:rsidP="00316EEC">
            <w:pPr>
              <w:ind w:left="142"/>
              <w:rPr>
                <w:rFonts w:ascii="Times New Roman" w:hAnsi="Times New Roman" w:cs="Times New Roman"/>
                <w:sz w:val="20"/>
                <w:szCs w:val="20"/>
                <w:highlight w:val="magenta"/>
                <w:lang w:val="uk-UA"/>
              </w:rPr>
            </w:pPr>
          </w:p>
        </w:tc>
        <w:tc>
          <w:tcPr>
            <w:tcW w:w="1276" w:type="dxa"/>
          </w:tcPr>
          <w:p w14:paraId="6F588762" w14:textId="2E46CBA4"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Project preparation stage – 4 months.</w:t>
            </w:r>
          </w:p>
          <w:p w14:paraId="21599BBA" w14:textId="561A46F1" w:rsidR="00946F52" w:rsidRPr="00316EEC" w:rsidRDefault="00946F52" w:rsidP="00316EEC">
            <w:pPr>
              <w:ind w:left="142"/>
              <w:rPr>
                <w:rFonts w:ascii="Times New Roman" w:hAnsi="Times New Roman" w:cs="Times New Roman"/>
                <w:sz w:val="20"/>
                <w:szCs w:val="20"/>
                <w:highlight w:val="magenta"/>
              </w:rPr>
            </w:pPr>
            <w:r w:rsidRPr="00316EEC">
              <w:rPr>
                <w:rFonts w:ascii="Times New Roman" w:hAnsi="Times New Roman" w:cs="Times New Roman"/>
                <w:sz w:val="20"/>
                <w:szCs w:val="20"/>
              </w:rPr>
              <w:t>Project implementation is planned during 24 months from the effective date of the Project.</w:t>
            </w:r>
          </w:p>
        </w:tc>
        <w:tc>
          <w:tcPr>
            <w:tcW w:w="1559" w:type="dxa"/>
          </w:tcPr>
          <w:p w14:paraId="05B7FAA0" w14:textId="41B1EEA3" w:rsidR="00946F52" w:rsidRPr="00316EEC" w:rsidRDefault="00946F52" w:rsidP="00316EEC">
            <w:pPr>
              <w:ind w:left="142"/>
              <w:rPr>
                <w:rFonts w:ascii="Times New Roman" w:hAnsi="Times New Roman" w:cs="Times New Roman"/>
                <w:sz w:val="20"/>
                <w:szCs w:val="20"/>
                <w:highlight w:val="magenta"/>
              </w:rPr>
            </w:pPr>
            <w:r w:rsidRPr="00316EEC">
              <w:rPr>
                <w:rFonts w:ascii="Times New Roman" w:hAnsi="Times New Roman" w:cs="Times New Roman"/>
                <w:sz w:val="20"/>
                <w:szCs w:val="20"/>
              </w:rPr>
              <w:t>All groups of stakeholders</w:t>
            </w:r>
          </w:p>
        </w:tc>
        <w:tc>
          <w:tcPr>
            <w:tcW w:w="1701" w:type="dxa"/>
          </w:tcPr>
          <w:p w14:paraId="7E168D9C" w14:textId="7D885EE0" w:rsidR="00946F52" w:rsidRPr="00316EEC" w:rsidRDefault="00946F52" w:rsidP="00316EEC">
            <w:pPr>
              <w:ind w:left="142"/>
              <w:rPr>
                <w:rFonts w:ascii="Times New Roman" w:hAnsi="Times New Roman" w:cs="Times New Roman"/>
                <w:sz w:val="20"/>
                <w:szCs w:val="20"/>
                <w:highlight w:val="magenta"/>
              </w:rPr>
            </w:pPr>
            <w:r w:rsidRPr="00316EEC">
              <w:rPr>
                <w:rFonts w:ascii="Times New Roman" w:hAnsi="Times New Roman" w:cs="Times New Roman"/>
                <w:sz w:val="20"/>
                <w:szCs w:val="20"/>
              </w:rPr>
              <w:t>MOH and PIU</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 xml:space="preserve"> Public Health Center, Regional Departments and other institutions to be determined</w:t>
            </w:r>
          </w:p>
        </w:tc>
      </w:tr>
      <w:tr w:rsidR="00946F52" w:rsidRPr="00316EEC" w14:paraId="7F55909F" w14:textId="77777777" w:rsidTr="007518F8">
        <w:tc>
          <w:tcPr>
            <w:tcW w:w="10343" w:type="dxa"/>
            <w:gridSpan w:val="7"/>
          </w:tcPr>
          <w:p w14:paraId="3702BE91" w14:textId="0736DE86" w:rsidR="00946F52" w:rsidRPr="00316EEC" w:rsidRDefault="00B217BB" w:rsidP="00316EEC">
            <w:pPr>
              <w:pStyle w:val="normale2"/>
              <w:numPr>
                <w:ilvl w:val="0"/>
                <w:numId w:val="0"/>
              </w:numPr>
              <w:ind w:left="142" w:right="4"/>
              <w:jc w:val="left"/>
              <w:rPr>
                <w:rFonts w:eastAsiaTheme="minorHAnsi"/>
                <w:b/>
                <w:bCs/>
                <w:color w:val="auto"/>
                <w:sz w:val="20"/>
                <w:szCs w:val="20"/>
                <w:lang w:eastAsia="en-US"/>
              </w:rPr>
            </w:pPr>
            <w:r w:rsidRPr="00316EEC">
              <w:rPr>
                <w:rFonts w:eastAsiaTheme="minorHAnsi"/>
                <w:b/>
                <w:bCs/>
                <w:color w:val="auto"/>
                <w:sz w:val="20"/>
                <w:szCs w:val="20"/>
                <w:lang w:eastAsia="en-US"/>
              </w:rPr>
              <w:t>Component 2 Support service delivery</w:t>
            </w:r>
          </w:p>
        </w:tc>
      </w:tr>
      <w:tr w:rsidR="007518F8" w:rsidRPr="00316EEC" w14:paraId="74980D25" w14:textId="77777777" w:rsidTr="007518F8">
        <w:tc>
          <w:tcPr>
            <w:tcW w:w="1270" w:type="dxa"/>
          </w:tcPr>
          <w:p w14:paraId="2A030D72" w14:textId="081D23D9" w:rsidR="00946F52" w:rsidRPr="00316EEC" w:rsidRDefault="00946F52" w:rsidP="00316EEC">
            <w:pPr>
              <w:ind w:left="142"/>
              <w:rPr>
                <w:rFonts w:ascii="Times New Roman" w:hAnsi="Times New Roman" w:cs="Times New Roman"/>
                <w:sz w:val="20"/>
                <w:szCs w:val="20"/>
                <w:highlight w:val="yellow"/>
              </w:rPr>
            </w:pPr>
            <w:r w:rsidRPr="00316EEC">
              <w:rPr>
                <w:rFonts w:ascii="Times New Roman" w:hAnsi="Times New Roman" w:cs="Times New Roman"/>
                <w:sz w:val="20"/>
                <w:szCs w:val="20"/>
              </w:rPr>
              <w:t xml:space="preserve">National </w:t>
            </w:r>
          </w:p>
        </w:tc>
        <w:tc>
          <w:tcPr>
            <w:tcW w:w="1559" w:type="dxa"/>
          </w:tcPr>
          <w:p w14:paraId="11E14819" w14:textId="5D418F51" w:rsidR="00226C45" w:rsidRPr="00316EEC" w:rsidRDefault="00226C45" w:rsidP="00316EEC">
            <w:pPr>
              <w:ind w:left="142"/>
              <w:rPr>
                <w:rFonts w:ascii="Times New Roman" w:hAnsi="Times New Roman" w:cs="Times New Roman"/>
                <w:sz w:val="20"/>
                <w:szCs w:val="20"/>
                <w:lang w:val="uk-UA"/>
              </w:rPr>
            </w:pPr>
            <w:r w:rsidRPr="00316EEC">
              <w:rPr>
                <w:rFonts w:ascii="Times New Roman" w:hAnsi="Times New Roman" w:cs="Times New Roman"/>
                <w:sz w:val="20"/>
                <w:szCs w:val="20"/>
              </w:rPr>
              <w:t>Materials</w:t>
            </w:r>
            <w:r w:rsidRPr="00316EEC">
              <w:rPr>
                <w:rFonts w:ascii="Times New Roman" w:hAnsi="Times New Roman" w:cs="Times New Roman"/>
                <w:sz w:val="20"/>
                <w:szCs w:val="20"/>
                <w:lang w:val="uk-UA"/>
              </w:rPr>
              <w:t>/</w:t>
            </w:r>
            <w:r w:rsidRPr="00316EEC">
              <w:rPr>
                <w:rFonts w:ascii="Times New Roman" w:hAnsi="Times New Roman" w:cs="Times New Roman"/>
                <w:sz w:val="20"/>
                <w:szCs w:val="20"/>
              </w:rPr>
              <w:t>information on achievement of performance indicators (</w:t>
            </w:r>
            <w:r w:rsidRPr="00316EEC">
              <w:rPr>
                <w:rFonts w:ascii="Times New Roman" w:hAnsi="Times New Roman" w:cs="Times New Roman"/>
                <w:sz w:val="20"/>
                <w:szCs w:val="20"/>
                <w:lang w:val="uk-UA"/>
              </w:rPr>
              <w:t>Performance Based Conditions (PBC))</w:t>
            </w:r>
            <w:r w:rsidRPr="00316EEC">
              <w:rPr>
                <w:rFonts w:ascii="Times New Roman" w:hAnsi="Times New Roman" w:cs="Times New Roman"/>
                <w:sz w:val="20"/>
                <w:szCs w:val="20"/>
              </w:rPr>
              <w:t xml:space="preserve"> to stimulate provision of medical services in response to COVID-19</w:t>
            </w:r>
            <w:r w:rsidRPr="00316EEC">
              <w:rPr>
                <w:rFonts w:ascii="Times New Roman" w:hAnsi="Times New Roman" w:cs="Times New Roman"/>
                <w:sz w:val="20"/>
                <w:szCs w:val="20"/>
                <w:lang w:val="uk-UA"/>
              </w:rPr>
              <w:t>,</w:t>
            </w:r>
            <w:r w:rsidRPr="00316EEC">
              <w:rPr>
                <w:rFonts w:ascii="Times New Roman" w:hAnsi="Times New Roman" w:cs="Times New Roman"/>
                <w:sz w:val="20"/>
                <w:szCs w:val="20"/>
              </w:rPr>
              <w:t xml:space="preserve"> </w:t>
            </w:r>
            <w:r w:rsidRPr="00316EEC">
              <w:rPr>
                <w:rFonts w:ascii="Times New Roman" w:hAnsi="Times New Roman" w:cs="Times New Roman"/>
                <w:sz w:val="20"/>
                <w:szCs w:val="20"/>
                <w:lang w:val="uk-UA"/>
              </w:rPr>
              <w:t xml:space="preserve"> </w:t>
            </w:r>
          </w:p>
          <w:p w14:paraId="522790F3" w14:textId="0F422EEA" w:rsidR="00946F52" w:rsidRPr="00316EEC" w:rsidRDefault="00226C45" w:rsidP="00316EEC">
            <w:pPr>
              <w:ind w:left="142"/>
              <w:rPr>
                <w:rFonts w:ascii="Times New Roman" w:hAnsi="Times New Roman" w:cs="Times New Roman"/>
                <w:sz w:val="20"/>
                <w:szCs w:val="20"/>
              </w:rPr>
            </w:pPr>
            <w:r w:rsidRPr="00316EEC">
              <w:rPr>
                <w:rFonts w:ascii="Times New Roman" w:hAnsi="Times New Roman" w:cs="Times New Roman"/>
                <w:sz w:val="20"/>
                <w:szCs w:val="20"/>
                <w:lang w:val="uk-UA"/>
              </w:rPr>
              <w:t xml:space="preserve">including measures </w:t>
            </w:r>
            <w:r w:rsidRPr="00316EEC">
              <w:rPr>
                <w:rFonts w:ascii="Times New Roman" w:hAnsi="Times New Roman" w:cs="Times New Roman"/>
                <w:sz w:val="20"/>
                <w:szCs w:val="20"/>
              </w:rPr>
              <w:t>of</w:t>
            </w:r>
            <w:r w:rsidRPr="00316EEC">
              <w:rPr>
                <w:rFonts w:ascii="Times New Roman" w:hAnsi="Times New Roman" w:cs="Times New Roman"/>
                <w:sz w:val="20"/>
                <w:szCs w:val="20"/>
                <w:lang w:val="uk-UA"/>
              </w:rPr>
              <w:t xml:space="preserve"> vaccinat</w:t>
            </w:r>
            <w:r w:rsidRPr="00316EEC">
              <w:rPr>
                <w:rFonts w:ascii="Times New Roman" w:hAnsi="Times New Roman" w:cs="Times New Roman"/>
                <w:sz w:val="20"/>
                <w:szCs w:val="20"/>
              </w:rPr>
              <w:t>ion</w:t>
            </w:r>
            <w:r w:rsidRPr="00316EEC">
              <w:rPr>
                <w:rFonts w:ascii="Times New Roman" w:hAnsi="Times New Roman" w:cs="Times New Roman"/>
                <w:sz w:val="20"/>
                <w:szCs w:val="20"/>
                <w:lang w:val="uk-UA"/>
              </w:rPr>
              <w:t xml:space="preserve"> against COVID-19 and </w:t>
            </w:r>
            <w:r w:rsidRPr="00316EEC">
              <w:rPr>
                <w:rFonts w:ascii="Times New Roman" w:hAnsi="Times New Roman" w:cs="Times New Roman"/>
                <w:sz w:val="20"/>
                <w:szCs w:val="20"/>
              </w:rPr>
              <w:t>stimulation</w:t>
            </w:r>
            <w:r w:rsidRPr="00316EEC">
              <w:rPr>
                <w:rFonts w:ascii="Times New Roman" w:hAnsi="Times New Roman" w:cs="Times New Roman"/>
                <w:sz w:val="20"/>
                <w:szCs w:val="20"/>
                <w:lang w:val="uk-UA"/>
              </w:rPr>
              <w:t xml:space="preserve"> </w:t>
            </w:r>
            <w:r w:rsidR="004B150B" w:rsidRPr="00316EEC">
              <w:rPr>
                <w:rFonts w:ascii="Times New Roman" w:hAnsi="Times New Roman" w:cs="Times New Roman"/>
                <w:sz w:val="20"/>
                <w:szCs w:val="20"/>
              </w:rPr>
              <w:t xml:space="preserve">of </w:t>
            </w:r>
            <w:r w:rsidRPr="00316EEC">
              <w:rPr>
                <w:rFonts w:ascii="Times New Roman" w:hAnsi="Times New Roman" w:cs="Times New Roman"/>
                <w:sz w:val="20"/>
                <w:szCs w:val="20"/>
                <w:lang w:val="uk-UA"/>
              </w:rPr>
              <w:t>focus</w:t>
            </w:r>
            <w:r w:rsidRPr="00316EEC">
              <w:rPr>
                <w:rFonts w:ascii="Times New Roman" w:hAnsi="Times New Roman" w:cs="Times New Roman"/>
                <w:sz w:val="20"/>
                <w:szCs w:val="20"/>
              </w:rPr>
              <w:t>ing</w:t>
            </w:r>
            <w:r w:rsidRPr="00316EEC">
              <w:rPr>
                <w:rFonts w:ascii="Times New Roman" w:hAnsi="Times New Roman" w:cs="Times New Roman"/>
                <w:sz w:val="20"/>
                <w:szCs w:val="20"/>
                <w:lang w:val="uk-UA"/>
              </w:rPr>
              <w:t xml:space="preserve"> on results</w:t>
            </w:r>
            <w:r w:rsidR="004B150B" w:rsidRPr="00316EEC">
              <w:rPr>
                <w:rFonts w:ascii="Times New Roman" w:hAnsi="Times New Roman" w:cs="Times New Roman"/>
                <w:sz w:val="20"/>
                <w:szCs w:val="20"/>
              </w:rPr>
              <w:t>.</w:t>
            </w:r>
          </w:p>
        </w:tc>
        <w:tc>
          <w:tcPr>
            <w:tcW w:w="2978" w:type="dxa"/>
            <w:gridSpan w:val="2"/>
          </w:tcPr>
          <w:p w14:paraId="1D88C7C8" w14:textId="77777777" w:rsidR="004B150B" w:rsidRPr="00316EEC" w:rsidRDefault="004B150B" w:rsidP="00316EEC">
            <w:pPr>
              <w:ind w:left="142"/>
              <w:rPr>
                <w:rFonts w:ascii="Times New Roman" w:hAnsi="Times New Roman" w:cs="Times New Roman"/>
                <w:sz w:val="20"/>
                <w:szCs w:val="20"/>
              </w:rPr>
            </w:pPr>
            <w:r w:rsidRPr="00316EEC">
              <w:rPr>
                <w:rFonts w:ascii="Times New Roman" w:hAnsi="Times New Roman" w:cs="Times New Roman"/>
                <w:sz w:val="20"/>
                <w:szCs w:val="20"/>
              </w:rPr>
              <w:t>Virtual meetings, Emails, letters to stakeholders with appropriate background information, posting on website/Facebook MOH/Project for feedback, MOH hotline</w:t>
            </w:r>
          </w:p>
          <w:p w14:paraId="236502D3" w14:textId="77777777" w:rsidR="004B150B" w:rsidRPr="00316EEC" w:rsidRDefault="004B150B" w:rsidP="00316EEC">
            <w:pPr>
              <w:ind w:left="142"/>
              <w:rPr>
                <w:rFonts w:ascii="Times New Roman" w:hAnsi="Times New Roman" w:cs="Times New Roman"/>
                <w:sz w:val="20"/>
                <w:szCs w:val="20"/>
              </w:rPr>
            </w:pPr>
          </w:p>
          <w:p w14:paraId="52F09F81" w14:textId="752A10D8" w:rsidR="00946F52" w:rsidRPr="00316EEC" w:rsidRDefault="004B150B" w:rsidP="00316EEC">
            <w:pPr>
              <w:ind w:left="142"/>
              <w:rPr>
                <w:rFonts w:ascii="Times New Roman" w:hAnsi="Times New Roman" w:cs="Times New Roman"/>
                <w:sz w:val="20"/>
                <w:szCs w:val="20"/>
                <w:highlight w:val="yellow"/>
              </w:rPr>
            </w:pPr>
            <w:r w:rsidRPr="00316EEC">
              <w:rPr>
                <w:rFonts w:ascii="Times New Roman" w:hAnsi="Times New Roman" w:cs="Times New Roman"/>
                <w:sz w:val="20"/>
                <w:szCs w:val="20"/>
              </w:rPr>
              <w:t>GRM operations</w:t>
            </w:r>
          </w:p>
        </w:tc>
        <w:tc>
          <w:tcPr>
            <w:tcW w:w="1276" w:type="dxa"/>
          </w:tcPr>
          <w:p w14:paraId="56920F63" w14:textId="77777777"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Project preparation stage – 4 months.</w:t>
            </w:r>
          </w:p>
          <w:p w14:paraId="78281489" w14:textId="77777777"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Project implementation is planned during 24 months from the effective date of the Project.</w:t>
            </w:r>
          </w:p>
          <w:p w14:paraId="742400E9" w14:textId="27D50F0B" w:rsidR="00226C45" w:rsidRPr="00316EEC" w:rsidRDefault="00226C45" w:rsidP="00316EEC">
            <w:pPr>
              <w:ind w:left="142"/>
              <w:rPr>
                <w:rFonts w:ascii="Times New Roman" w:hAnsi="Times New Roman" w:cs="Times New Roman"/>
                <w:sz w:val="20"/>
                <w:szCs w:val="20"/>
              </w:rPr>
            </w:pPr>
            <w:r w:rsidRPr="00316EEC">
              <w:rPr>
                <w:rFonts w:ascii="Times New Roman" w:hAnsi="Times New Roman" w:cs="Times New Roman"/>
                <w:sz w:val="20"/>
                <w:szCs w:val="20"/>
                <w:lang w:val="uk-UA"/>
              </w:rPr>
              <w:t>(</w:t>
            </w:r>
            <w:r w:rsidRPr="00316EEC">
              <w:rPr>
                <w:rFonts w:ascii="Times New Roman" w:hAnsi="Times New Roman" w:cs="Times New Roman"/>
                <w:sz w:val="20"/>
                <w:szCs w:val="20"/>
              </w:rPr>
              <w:t>frequency will be determined later</w:t>
            </w:r>
            <w:r w:rsidRPr="00316EEC">
              <w:rPr>
                <w:rFonts w:ascii="Times New Roman" w:hAnsi="Times New Roman" w:cs="Times New Roman"/>
                <w:sz w:val="20"/>
                <w:szCs w:val="20"/>
                <w:lang w:val="uk-UA"/>
              </w:rPr>
              <w:t>)</w:t>
            </w:r>
          </w:p>
        </w:tc>
        <w:tc>
          <w:tcPr>
            <w:tcW w:w="1559" w:type="dxa"/>
          </w:tcPr>
          <w:p w14:paraId="7741D24C" w14:textId="7AB24813" w:rsidR="00226C45" w:rsidRPr="00316EEC" w:rsidRDefault="00226C45" w:rsidP="00316EEC">
            <w:pPr>
              <w:autoSpaceDE w:val="0"/>
              <w:autoSpaceDN w:val="0"/>
              <w:adjustRightInd w:val="0"/>
              <w:ind w:left="142"/>
              <w:rPr>
                <w:rFonts w:ascii="Times New Roman" w:hAnsi="Times New Roman" w:cs="Times New Roman"/>
                <w:sz w:val="20"/>
                <w:szCs w:val="20"/>
              </w:rPr>
            </w:pPr>
            <w:r w:rsidRPr="00316EEC">
              <w:rPr>
                <w:rFonts w:ascii="Times New Roman" w:hAnsi="Times New Roman" w:cs="Times New Roman"/>
                <w:sz w:val="20"/>
                <w:szCs w:val="20"/>
              </w:rPr>
              <w:t>Ministry of finance of Ukraine</w:t>
            </w:r>
            <w:r w:rsidRPr="00316EEC">
              <w:rPr>
                <w:rFonts w:ascii="Times New Roman" w:hAnsi="Times New Roman" w:cs="Times New Roman"/>
                <w:sz w:val="20"/>
                <w:szCs w:val="20"/>
                <w:lang w:val="uk-UA"/>
              </w:rPr>
              <w:t xml:space="preserve"> </w:t>
            </w:r>
            <w:r w:rsidRPr="00316EEC">
              <w:rPr>
                <w:rFonts w:ascii="Times New Roman" w:hAnsi="Times New Roman" w:cs="Times New Roman"/>
                <w:sz w:val="20"/>
                <w:szCs w:val="20"/>
              </w:rPr>
              <w:t>and other parties involved into the project</w:t>
            </w:r>
          </w:p>
          <w:p w14:paraId="2443DDD0" w14:textId="311C4779" w:rsidR="00226C45" w:rsidRPr="00316EEC" w:rsidRDefault="00226C45" w:rsidP="00316EEC">
            <w:pPr>
              <w:ind w:left="142"/>
              <w:rPr>
                <w:rFonts w:ascii="Times New Roman" w:hAnsi="Times New Roman" w:cs="Times New Roman"/>
                <w:sz w:val="20"/>
                <w:szCs w:val="20"/>
                <w:lang w:val="uk-UA"/>
              </w:rPr>
            </w:pPr>
          </w:p>
        </w:tc>
        <w:tc>
          <w:tcPr>
            <w:tcW w:w="1701" w:type="dxa"/>
          </w:tcPr>
          <w:p w14:paraId="66159138" w14:textId="558AB4BF" w:rsidR="00946F52" w:rsidRPr="00316EEC" w:rsidRDefault="00946F52" w:rsidP="00316EEC">
            <w:pPr>
              <w:ind w:left="142"/>
              <w:rPr>
                <w:rFonts w:ascii="Times New Roman" w:hAnsi="Times New Roman" w:cs="Times New Roman"/>
                <w:sz w:val="20"/>
                <w:szCs w:val="20"/>
              </w:rPr>
            </w:pPr>
            <w:r w:rsidRPr="00316EEC">
              <w:rPr>
                <w:rFonts w:ascii="Times New Roman" w:hAnsi="Times New Roman" w:cs="Times New Roman"/>
                <w:sz w:val="20"/>
                <w:szCs w:val="20"/>
              </w:rPr>
              <w:t xml:space="preserve">MOH and </w:t>
            </w:r>
            <w:r w:rsidR="004B150B" w:rsidRPr="00316EEC">
              <w:rPr>
                <w:rFonts w:ascii="Times New Roman" w:hAnsi="Times New Roman" w:cs="Times New Roman"/>
                <w:sz w:val="20"/>
                <w:szCs w:val="20"/>
              </w:rPr>
              <w:t>PIU</w:t>
            </w:r>
            <w:r w:rsidR="00877159" w:rsidRPr="00316EEC">
              <w:rPr>
                <w:rFonts w:ascii="Times New Roman" w:hAnsi="Times New Roman" w:cs="Times New Roman"/>
                <w:sz w:val="20"/>
                <w:szCs w:val="20"/>
              </w:rPr>
              <w:t>;</w:t>
            </w:r>
            <w:r w:rsidR="004B150B" w:rsidRPr="00316EEC">
              <w:rPr>
                <w:rFonts w:ascii="Times New Roman" w:hAnsi="Times New Roman" w:cs="Times New Roman"/>
                <w:sz w:val="20"/>
                <w:szCs w:val="20"/>
                <w:lang w:val="uk-UA"/>
              </w:rPr>
              <w:t xml:space="preserve"> </w:t>
            </w:r>
            <w:r w:rsidR="00877159" w:rsidRPr="00316EEC">
              <w:rPr>
                <w:rFonts w:ascii="Times New Roman" w:hAnsi="Times New Roman" w:cs="Times New Roman"/>
                <w:sz w:val="20"/>
                <w:szCs w:val="20"/>
              </w:rPr>
              <w:t xml:space="preserve">WB; </w:t>
            </w:r>
            <w:r w:rsidR="004B150B" w:rsidRPr="00316EEC">
              <w:rPr>
                <w:rFonts w:ascii="Times New Roman" w:hAnsi="Times New Roman" w:cs="Times New Roman"/>
                <w:sz w:val="20"/>
                <w:szCs w:val="20"/>
              </w:rPr>
              <w:t>Public</w:t>
            </w:r>
            <w:r w:rsidRPr="00316EEC">
              <w:rPr>
                <w:rFonts w:ascii="Times New Roman" w:hAnsi="Times New Roman" w:cs="Times New Roman"/>
                <w:sz w:val="20"/>
                <w:szCs w:val="20"/>
              </w:rPr>
              <w:t xml:space="preserve"> Health Center, Regional Departments and other institutions to be determined</w:t>
            </w:r>
            <w:r w:rsidR="00877159" w:rsidRPr="00316EEC">
              <w:rPr>
                <w:rFonts w:ascii="Times New Roman" w:hAnsi="Times New Roman" w:cs="Times New Roman"/>
                <w:sz w:val="20"/>
                <w:szCs w:val="20"/>
              </w:rPr>
              <w:t xml:space="preserve"> at later stages.</w:t>
            </w:r>
          </w:p>
          <w:p w14:paraId="5D9EBD5A" w14:textId="77777777" w:rsidR="00226C45" w:rsidRPr="00316EEC" w:rsidRDefault="00226C45" w:rsidP="00316EEC">
            <w:pPr>
              <w:ind w:left="142"/>
              <w:rPr>
                <w:rFonts w:ascii="Times New Roman" w:hAnsi="Times New Roman" w:cs="Times New Roman"/>
                <w:sz w:val="20"/>
                <w:szCs w:val="20"/>
              </w:rPr>
            </w:pPr>
          </w:p>
          <w:p w14:paraId="5AA12F15" w14:textId="6470FCCA" w:rsidR="00226C45" w:rsidRPr="00316EEC" w:rsidRDefault="00226C45" w:rsidP="00316EEC">
            <w:pPr>
              <w:autoSpaceDE w:val="0"/>
              <w:autoSpaceDN w:val="0"/>
              <w:adjustRightInd w:val="0"/>
              <w:ind w:left="142"/>
              <w:rPr>
                <w:rFonts w:ascii="Times New Roman" w:hAnsi="Times New Roman" w:cs="Times New Roman"/>
                <w:sz w:val="20"/>
                <w:szCs w:val="20"/>
              </w:rPr>
            </w:pPr>
          </w:p>
        </w:tc>
      </w:tr>
    </w:tbl>
    <w:p w14:paraId="3D0574D0" w14:textId="2DE58117" w:rsidR="00007F9F" w:rsidRPr="007518F8" w:rsidRDefault="00007F9F" w:rsidP="000A41D4">
      <w:pPr>
        <w:ind w:left="-284"/>
        <w:jc w:val="both"/>
        <w:rPr>
          <w:rFonts w:ascii="Times New Roman" w:hAnsi="Times New Roman" w:cs="Times New Roman"/>
          <w:sz w:val="24"/>
          <w:szCs w:val="24"/>
          <w:highlight w:val="magenta"/>
        </w:rPr>
      </w:pPr>
    </w:p>
    <w:p w14:paraId="7D6855BC" w14:textId="77777777" w:rsidR="00693568" w:rsidRPr="007518F8" w:rsidRDefault="00693568" w:rsidP="000A41D4">
      <w:pPr>
        <w:pStyle w:val="1"/>
        <w:ind w:left="-284"/>
        <w:rPr>
          <w:rFonts w:cs="Times New Roman"/>
          <w:szCs w:val="24"/>
        </w:rPr>
      </w:pPr>
      <w:bookmarkStart w:id="17" w:name="_Toc65760314"/>
      <w:r w:rsidRPr="007518F8">
        <w:rPr>
          <w:rFonts w:cs="Times New Roman"/>
          <w:szCs w:val="24"/>
        </w:rPr>
        <w:t>4.1 Public disclosure of documents related to the Project</w:t>
      </w:r>
      <w:bookmarkEnd w:id="17"/>
    </w:p>
    <w:p w14:paraId="26AE0CFA" w14:textId="77777777" w:rsidR="00693568" w:rsidRPr="007518F8" w:rsidRDefault="00693568" w:rsidP="000A41D4">
      <w:pPr>
        <w:spacing w:line="23" w:lineRule="atLeast"/>
        <w:ind w:left="-284"/>
        <w:jc w:val="both"/>
        <w:rPr>
          <w:rFonts w:ascii="Times New Roman" w:hAnsi="Times New Roman" w:cs="Times New Roman"/>
          <w:bCs/>
          <w:sz w:val="24"/>
          <w:szCs w:val="24"/>
        </w:rPr>
      </w:pPr>
    </w:p>
    <w:p w14:paraId="7E349A13" w14:textId="25093174" w:rsidR="00693568" w:rsidRPr="007518F8" w:rsidRDefault="00693568" w:rsidP="000A41D4">
      <w:pPr>
        <w:spacing w:line="23" w:lineRule="atLeast"/>
        <w:ind w:left="-284"/>
        <w:jc w:val="both"/>
        <w:rPr>
          <w:rFonts w:ascii="Times New Roman" w:hAnsi="Times New Roman" w:cs="Times New Roman"/>
          <w:bCs/>
          <w:sz w:val="24"/>
          <w:szCs w:val="24"/>
        </w:rPr>
      </w:pPr>
      <w:r w:rsidRPr="007518F8">
        <w:rPr>
          <w:rFonts w:ascii="Times New Roman" w:hAnsi="Times New Roman" w:cs="Times New Roman"/>
          <w:bCs/>
          <w:sz w:val="24"/>
          <w:szCs w:val="24"/>
        </w:rPr>
        <w:t xml:space="preserve">SEP, ESMF and LMP will be disclosed on official website of MOH in Ukrainian and English languages. Due to the limitations caused by outbreak of Covid-19 in Ukraine the MOH will conduct public consultations and stakeholder engagement virtually/remotely. The electronic versions of the documents on Ukrainian will be provided to stakeholders (regional healthcare departments, NGOs, international organizations). The feedback form will be provided </w:t>
      </w:r>
      <w:r w:rsidR="00123E93" w:rsidRPr="007518F8">
        <w:rPr>
          <w:rFonts w:ascii="Times New Roman" w:hAnsi="Times New Roman" w:cs="Times New Roman"/>
          <w:bCs/>
          <w:sz w:val="24"/>
          <w:szCs w:val="24"/>
        </w:rPr>
        <w:t xml:space="preserve">for stakeholders </w:t>
      </w:r>
      <w:r w:rsidRPr="007518F8">
        <w:rPr>
          <w:rFonts w:ascii="Times New Roman" w:hAnsi="Times New Roman" w:cs="Times New Roman"/>
          <w:bCs/>
          <w:sz w:val="24"/>
          <w:szCs w:val="24"/>
        </w:rPr>
        <w:t xml:space="preserve">for filling in and providing of feedback regarding SEP, ESMF and LMP. During disclosure period the stakeholders will be encouraged to provide feedback and comments on the Project and environmental and social documents. </w:t>
      </w:r>
    </w:p>
    <w:p w14:paraId="7D7BB05A" w14:textId="5BCD64B6" w:rsidR="00693568" w:rsidRPr="007518F8" w:rsidRDefault="00693568" w:rsidP="000A41D4">
      <w:pPr>
        <w:spacing w:line="23" w:lineRule="atLeast"/>
        <w:ind w:left="-284"/>
        <w:jc w:val="both"/>
        <w:rPr>
          <w:rFonts w:ascii="Times New Roman" w:hAnsi="Times New Roman" w:cs="Times New Roman"/>
          <w:bCs/>
          <w:sz w:val="24"/>
          <w:szCs w:val="24"/>
        </w:rPr>
      </w:pPr>
      <w:r w:rsidRPr="007518F8">
        <w:rPr>
          <w:rFonts w:ascii="Times New Roman" w:hAnsi="Times New Roman" w:cs="Times New Roman"/>
          <w:bCs/>
          <w:sz w:val="24"/>
          <w:szCs w:val="24"/>
        </w:rPr>
        <w:t xml:space="preserve">The public consultations process will be opened during project implementation. Stakeholders will be able to appeal to MOH with proposals/informational request at all stages of project implementation and their appeal will be responded during 30 days according to the Law “On citizen`s appeals”. </w:t>
      </w:r>
    </w:p>
    <w:p w14:paraId="0D2973F2" w14:textId="77777777" w:rsidR="00693568" w:rsidRPr="007518F8" w:rsidRDefault="00693568" w:rsidP="000A41D4">
      <w:pPr>
        <w:spacing w:line="23" w:lineRule="atLeast"/>
        <w:ind w:left="-284"/>
        <w:jc w:val="both"/>
        <w:rPr>
          <w:rFonts w:ascii="Times New Roman" w:hAnsi="Times New Roman" w:cs="Times New Roman"/>
          <w:bCs/>
          <w:sz w:val="24"/>
          <w:szCs w:val="24"/>
        </w:rPr>
      </w:pPr>
    </w:p>
    <w:p w14:paraId="0A51B926" w14:textId="0866960D" w:rsidR="00AA602C" w:rsidRPr="007518F8" w:rsidRDefault="0038732B" w:rsidP="000A41D4">
      <w:pPr>
        <w:pStyle w:val="1"/>
        <w:ind w:left="-284"/>
        <w:rPr>
          <w:rFonts w:cs="Times New Roman"/>
          <w:szCs w:val="24"/>
        </w:rPr>
      </w:pPr>
      <w:bookmarkStart w:id="18" w:name="_Toc65760315"/>
      <w:r>
        <w:rPr>
          <w:rFonts w:cs="Times New Roman"/>
          <w:szCs w:val="24"/>
        </w:rPr>
        <w:t>5.</w:t>
      </w:r>
      <w:r w:rsidR="00BD3761">
        <w:rPr>
          <w:rFonts w:cs="Times New Roman"/>
          <w:szCs w:val="24"/>
        </w:rPr>
        <w:t>Implementation Arrangements</w:t>
      </w:r>
      <w:bookmarkEnd w:id="18"/>
      <w:r w:rsidRPr="007518F8">
        <w:rPr>
          <w:rFonts w:cs="Times New Roman"/>
          <w:szCs w:val="24"/>
        </w:rPr>
        <w:t xml:space="preserve"> </w:t>
      </w:r>
    </w:p>
    <w:p w14:paraId="7C389D0D" w14:textId="77777777" w:rsidR="00AA602C" w:rsidRPr="007518F8" w:rsidRDefault="00AA602C" w:rsidP="000A41D4">
      <w:pPr>
        <w:ind w:left="-284"/>
        <w:rPr>
          <w:rFonts w:ascii="Times New Roman" w:hAnsi="Times New Roman" w:cs="Times New Roman"/>
          <w:sz w:val="24"/>
          <w:szCs w:val="24"/>
        </w:rPr>
      </w:pPr>
    </w:p>
    <w:p w14:paraId="22EDE90C" w14:textId="493D2D60" w:rsidR="00AA602C" w:rsidRPr="007518F8" w:rsidRDefault="007518F8" w:rsidP="000A41D4">
      <w:pPr>
        <w:pStyle w:val="1"/>
        <w:ind w:left="-284"/>
        <w:rPr>
          <w:rFonts w:cs="Times New Roman"/>
          <w:szCs w:val="24"/>
        </w:rPr>
      </w:pPr>
      <w:bookmarkStart w:id="19" w:name="_Toc65760316"/>
      <w:r w:rsidRPr="007518F8">
        <w:rPr>
          <w:rFonts w:cs="Times New Roman"/>
          <w:szCs w:val="24"/>
        </w:rPr>
        <w:t xml:space="preserve">5.1 </w:t>
      </w:r>
      <w:r w:rsidR="00BD3761">
        <w:rPr>
          <w:rFonts w:cs="Times New Roman"/>
          <w:szCs w:val="24"/>
        </w:rPr>
        <w:t xml:space="preserve">Institutional </w:t>
      </w:r>
      <w:r w:rsidR="00AA602C" w:rsidRPr="007518F8">
        <w:rPr>
          <w:rFonts w:cs="Times New Roman"/>
          <w:szCs w:val="24"/>
        </w:rPr>
        <w:t xml:space="preserve">Roles and </w:t>
      </w:r>
      <w:r w:rsidR="00BD3761">
        <w:rPr>
          <w:rFonts w:cs="Times New Roman"/>
          <w:szCs w:val="24"/>
        </w:rPr>
        <w:t>R</w:t>
      </w:r>
      <w:r w:rsidR="00AA602C" w:rsidRPr="007518F8">
        <w:rPr>
          <w:rFonts w:cs="Times New Roman"/>
          <w:szCs w:val="24"/>
        </w:rPr>
        <w:t>esponsibilities</w:t>
      </w:r>
      <w:bookmarkEnd w:id="19"/>
    </w:p>
    <w:p w14:paraId="1C122570" w14:textId="77777777" w:rsidR="00AA602C" w:rsidRPr="007518F8" w:rsidRDefault="00AA602C" w:rsidP="000A41D4">
      <w:pPr>
        <w:ind w:left="-284"/>
        <w:rPr>
          <w:rFonts w:ascii="Times New Roman" w:hAnsi="Times New Roman" w:cs="Times New Roman"/>
          <w:sz w:val="24"/>
          <w:szCs w:val="24"/>
        </w:rPr>
      </w:pPr>
    </w:p>
    <w:p w14:paraId="6122C605" w14:textId="77777777" w:rsidR="005D4730" w:rsidRPr="007518F8" w:rsidRDefault="005D4730" w:rsidP="000A41D4">
      <w:pPr>
        <w:spacing w:line="23" w:lineRule="atLeast"/>
        <w:ind w:left="-284"/>
        <w:jc w:val="both"/>
        <w:rPr>
          <w:rFonts w:ascii="Times New Roman" w:hAnsi="Times New Roman" w:cs="Times New Roman"/>
          <w:bCs/>
          <w:sz w:val="24"/>
          <w:szCs w:val="24"/>
        </w:rPr>
      </w:pPr>
      <w:r w:rsidRPr="007518F8">
        <w:rPr>
          <w:rFonts w:ascii="Times New Roman" w:hAnsi="Times New Roman" w:cs="Times New Roman"/>
          <w:bCs/>
          <w:sz w:val="24"/>
          <w:szCs w:val="24"/>
        </w:rPr>
        <w:t xml:space="preserve">Implementation of the SEP, including the monitoring of output and outcome results will be the responsibility of MOH PIU staff working closely with local focal points and healthcare departments.  The PIU will monitor the SEP in accordance with the requirements of the Project Loan Agreement and the ESMF including changes resulting from adjustments in the project circumstances.  </w:t>
      </w:r>
    </w:p>
    <w:p w14:paraId="0E13A57B" w14:textId="35DC8569" w:rsidR="005D4730" w:rsidRPr="007518F8" w:rsidRDefault="005D4730" w:rsidP="000A41D4">
      <w:pPr>
        <w:spacing w:line="23" w:lineRule="atLeast"/>
        <w:ind w:left="-284"/>
        <w:jc w:val="both"/>
        <w:rPr>
          <w:rFonts w:ascii="Times New Roman" w:hAnsi="Times New Roman" w:cs="Times New Roman"/>
          <w:bCs/>
          <w:sz w:val="24"/>
          <w:szCs w:val="24"/>
        </w:rPr>
      </w:pPr>
      <w:r w:rsidRPr="007518F8">
        <w:rPr>
          <w:rFonts w:ascii="Times New Roman" w:hAnsi="Times New Roman" w:cs="Times New Roman"/>
          <w:bCs/>
          <w:sz w:val="24"/>
          <w:szCs w:val="24"/>
        </w:rPr>
        <w:t xml:space="preserve">The PIU located in Kyiv and implements the ongoing Project financed by World Bank. The PIU will also oversee preparation of the consolidated annual work plan, including stakeholder engagement activities. The PIU has an environmental and social safeguards specialist who will be responsible for overall stakeholder’s engagement, handling of grievance log, revising of this SEP (if necessary), and Project compliance with ESF.  </w:t>
      </w:r>
    </w:p>
    <w:p w14:paraId="1209C306" w14:textId="77777777" w:rsidR="00123E93" w:rsidRPr="007518F8" w:rsidRDefault="00123E93" w:rsidP="000A41D4">
      <w:pPr>
        <w:spacing w:line="23" w:lineRule="atLeast"/>
        <w:ind w:left="-284"/>
        <w:jc w:val="both"/>
        <w:rPr>
          <w:rFonts w:ascii="Times New Roman" w:hAnsi="Times New Roman" w:cs="Times New Roman"/>
          <w:bCs/>
          <w:sz w:val="24"/>
          <w:szCs w:val="24"/>
        </w:rPr>
      </w:pPr>
      <w:r w:rsidRPr="007518F8">
        <w:rPr>
          <w:rFonts w:ascii="Times New Roman" w:hAnsi="Times New Roman" w:cs="Times New Roman"/>
          <w:bCs/>
          <w:sz w:val="24"/>
          <w:szCs w:val="24"/>
        </w:rPr>
        <w:t>The Stakeholder Engagement Plan will be periodically revised and updated as necessary in the course of project implementation in order to ensure that the information presented herein is consistent and is the most recent, and that the identified methods of engagement remain appropriate and effective in relation to the project context and specific phases of the development. Any major changes to the project related activities and to its schedule will be duly reflected in the SEP.</w:t>
      </w:r>
    </w:p>
    <w:p w14:paraId="67F6D633" w14:textId="77777777" w:rsidR="004B150B" w:rsidRPr="007518F8" w:rsidRDefault="004B150B" w:rsidP="000A41D4">
      <w:pPr>
        <w:spacing w:line="23" w:lineRule="atLeast"/>
        <w:ind w:left="-284"/>
        <w:jc w:val="both"/>
        <w:rPr>
          <w:rFonts w:ascii="Times New Roman" w:hAnsi="Times New Roman" w:cs="Times New Roman"/>
          <w:bCs/>
          <w:sz w:val="24"/>
          <w:szCs w:val="24"/>
        </w:rPr>
      </w:pPr>
    </w:p>
    <w:p w14:paraId="22C0163C" w14:textId="6F68CE9F" w:rsidR="001025A3" w:rsidRPr="007518F8" w:rsidRDefault="007518F8" w:rsidP="000A41D4">
      <w:pPr>
        <w:pStyle w:val="1"/>
        <w:ind w:left="-284"/>
        <w:rPr>
          <w:rFonts w:cs="Times New Roman"/>
          <w:szCs w:val="24"/>
        </w:rPr>
      </w:pPr>
      <w:bookmarkStart w:id="20" w:name="_Toc65760317"/>
      <w:r w:rsidRPr="007518F8">
        <w:rPr>
          <w:rFonts w:cs="Times New Roman"/>
          <w:szCs w:val="24"/>
        </w:rPr>
        <w:t xml:space="preserve">5.2 </w:t>
      </w:r>
      <w:r w:rsidR="001025A3" w:rsidRPr="007518F8">
        <w:rPr>
          <w:rFonts w:cs="Times New Roman"/>
          <w:szCs w:val="24"/>
        </w:rPr>
        <w:t>Monitoring activities</w:t>
      </w:r>
      <w:bookmarkEnd w:id="20"/>
    </w:p>
    <w:p w14:paraId="3E21B844" w14:textId="77777777" w:rsidR="001025A3" w:rsidRPr="007518F8" w:rsidRDefault="001025A3" w:rsidP="000A41D4">
      <w:pPr>
        <w:spacing w:line="23" w:lineRule="atLeast"/>
        <w:ind w:left="-284"/>
        <w:jc w:val="both"/>
        <w:rPr>
          <w:rFonts w:ascii="Times New Roman" w:hAnsi="Times New Roman" w:cs="Times New Roman"/>
          <w:bCs/>
          <w:sz w:val="24"/>
          <w:szCs w:val="24"/>
        </w:rPr>
      </w:pPr>
    </w:p>
    <w:p w14:paraId="2EA6D295" w14:textId="77777777" w:rsidR="005D4730" w:rsidRPr="007518F8" w:rsidRDefault="001025A3" w:rsidP="000A41D4">
      <w:pPr>
        <w:spacing w:line="23" w:lineRule="atLeast"/>
        <w:ind w:left="-284"/>
        <w:jc w:val="both"/>
        <w:rPr>
          <w:rFonts w:ascii="Times New Roman" w:hAnsi="Times New Roman" w:cs="Times New Roman"/>
          <w:bCs/>
          <w:sz w:val="24"/>
          <w:szCs w:val="24"/>
        </w:rPr>
      </w:pPr>
      <w:r w:rsidRPr="007518F8">
        <w:rPr>
          <w:rFonts w:ascii="Times New Roman" w:hAnsi="Times New Roman" w:cs="Times New Roman"/>
          <w:bCs/>
          <w:sz w:val="24"/>
          <w:szCs w:val="24"/>
        </w:rPr>
        <w:t>MOH will ensure the collection of information for regular project reporting. This will include the component output measures defined in the POM, ESF risks and GRM reports.  Also, the PIU team will facilitate ongoing dialogue process with stakeholders which will help inform project measurement. Where other agencies or third parties will be responsible for managing specific risks and impacts and implementing mitigation measures, MOH - will collaborate with such agencies and third parties to establish and monitor such mitigation measures</w:t>
      </w:r>
    </w:p>
    <w:p w14:paraId="283BF04D" w14:textId="3B76437D" w:rsidR="001025A3" w:rsidRPr="00F102C2" w:rsidRDefault="005D1F37" w:rsidP="00EF1D2F">
      <w:pPr>
        <w:pStyle w:val="1"/>
        <w:numPr>
          <w:ilvl w:val="0"/>
          <w:numId w:val="8"/>
        </w:numPr>
        <w:ind w:left="-284" w:firstLine="0"/>
        <w:rPr>
          <w:rFonts w:cs="Times New Roman"/>
          <w:szCs w:val="24"/>
        </w:rPr>
      </w:pPr>
      <w:bookmarkStart w:id="21" w:name="_Toc65760318"/>
      <w:r>
        <w:rPr>
          <w:rFonts w:cs="Times New Roman"/>
          <w:szCs w:val="24"/>
        </w:rPr>
        <w:t>G</w:t>
      </w:r>
      <w:r w:rsidRPr="007518F8">
        <w:rPr>
          <w:rFonts w:cs="Times New Roman"/>
          <w:szCs w:val="24"/>
        </w:rPr>
        <w:t>rievance redress</w:t>
      </w:r>
      <w:bookmarkEnd w:id="21"/>
      <w:r w:rsidRPr="007518F8">
        <w:rPr>
          <w:rFonts w:cs="Times New Roman"/>
          <w:szCs w:val="24"/>
        </w:rPr>
        <w:t xml:space="preserve"> </w:t>
      </w:r>
    </w:p>
    <w:p w14:paraId="76C5FD94" w14:textId="46100F8E" w:rsidR="001025A3" w:rsidRPr="007518F8" w:rsidRDefault="001025A3" w:rsidP="000A41D4">
      <w:pPr>
        <w:pStyle w:val="1"/>
        <w:ind w:left="-284"/>
        <w:rPr>
          <w:rFonts w:cs="Times New Roman"/>
          <w:szCs w:val="24"/>
        </w:rPr>
      </w:pPr>
      <w:bookmarkStart w:id="22" w:name="_Toc41402620"/>
      <w:bookmarkStart w:id="23" w:name="_Toc65760319"/>
      <w:r w:rsidRPr="007518F8">
        <w:rPr>
          <w:rFonts w:cs="Times New Roman"/>
          <w:szCs w:val="24"/>
        </w:rPr>
        <w:t>6.1 Definition of the GRM</w:t>
      </w:r>
      <w:bookmarkEnd w:id="22"/>
      <w:bookmarkEnd w:id="23"/>
    </w:p>
    <w:p w14:paraId="602336FE" w14:textId="4729B508" w:rsidR="001025A3" w:rsidRDefault="001025A3" w:rsidP="000A41D4">
      <w:pPr>
        <w:spacing w:line="276" w:lineRule="auto"/>
        <w:ind w:left="-284"/>
        <w:jc w:val="both"/>
        <w:rPr>
          <w:rFonts w:ascii="Times New Roman" w:hAnsi="Times New Roman" w:cs="Times New Roman"/>
          <w:sz w:val="24"/>
          <w:szCs w:val="24"/>
        </w:rPr>
      </w:pPr>
      <w:r w:rsidRPr="007518F8">
        <w:rPr>
          <w:rFonts w:ascii="Times New Roman" w:hAnsi="Times New Roman" w:cs="Times New Roman"/>
          <w:sz w:val="24"/>
          <w:szCs w:val="24"/>
        </w:rPr>
        <w:t>Transparency and accountability are core elements of the Project.  For this purpo</w:t>
      </w:r>
      <w:r w:rsidR="00291D55">
        <w:rPr>
          <w:rFonts w:ascii="Times New Roman" w:hAnsi="Times New Roman" w:cs="Times New Roman"/>
          <w:sz w:val="24"/>
          <w:szCs w:val="24"/>
        </w:rPr>
        <w:t xml:space="preserve">se, the Project will include a </w:t>
      </w:r>
      <w:r w:rsidRPr="007518F8">
        <w:rPr>
          <w:rFonts w:ascii="Times New Roman" w:hAnsi="Times New Roman" w:cs="Times New Roman"/>
          <w:sz w:val="24"/>
          <w:szCs w:val="24"/>
        </w:rPr>
        <w:t xml:space="preserve">GRM. The goal of the GRM is to strengthen accountability to beneficiaries and to provide channels for project stakeholders to provide feedback and/or express grievances related to project supported activities.  The GRM is a mechanism that allows for the identification and resolution of issues affecting the project. By increasing transparency and accountability, the GRM aims to reduce the risk of the project inadvertently affecting citizens/beneficiaries and serves as an important feedback and learning mechanism that can help improve project impact.  The mechanism focuses not only on receiving and recording complaints but also on resolving them. While feedback should be handled at the level closest to the complaint, all complaints </w:t>
      </w:r>
      <w:r w:rsidR="005C794F">
        <w:rPr>
          <w:rFonts w:ascii="Times New Roman" w:hAnsi="Times New Roman" w:cs="Times New Roman"/>
          <w:sz w:val="24"/>
          <w:szCs w:val="24"/>
        </w:rPr>
        <w:t xml:space="preserve">including anonymous </w:t>
      </w:r>
      <w:r w:rsidRPr="007518F8">
        <w:rPr>
          <w:rFonts w:ascii="Times New Roman" w:hAnsi="Times New Roman" w:cs="Times New Roman"/>
          <w:sz w:val="24"/>
          <w:szCs w:val="24"/>
        </w:rPr>
        <w:t>should be registered</w:t>
      </w:r>
      <w:r w:rsidR="003C58CE">
        <w:rPr>
          <w:rFonts w:ascii="Times New Roman" w:hAnsi="Times New Roman" w:cs="Times New Roman"/>
          <w:sz w:val="24"/>
          <w:szCs w:val="24"/>
        </w:rPr>
        <w:t xml:space="preserve"> at the respective grievance log </w:t>
      </w:r>
      <w:r w:rsidRPr="007518F8">
        <w:rPr>
          <w:rFonts w:ascii="Times New Roman" w:hAnsi="Times New Roman" w:cs="Times New Roman"/>
          <w:sz w:val="24"/>
          <w:szCs w:val="24"/>
        </w:rPr>
        <w:t xml:space="preserve"> and follow the basic proc</w:t>
      </w:r>
      <w:r w:rsidR="00291D55">
        <w:rPr>
          <w:rFonts w:ascii="Times New Roman" w:hAnsi="Times New Roman" w:cs="Times New Roman"/>
          <w:sz w:val="24"/>
          <w:szCs w:val="24"/>
        </w:rPr>
        <w:t>edures set out in this chapter.</w:t>
      </w:r>
    </w:p>
    <w:p w14:paraId="54D0153B" w14:textId="6ED5C005" w:rsidR="005C794F" w:rsidRPr="007518F8" w:rsidRDefault="005C794F" w:rsidP="000A41D4">
      <w:pPr>
        <w:spacing w:line="276" w:lineRule="auto"/>
        <w:ind w:left="-284"/>
        <w:jc w:val="both"/>
        <w:rPr>
          <w:rFonts w:ascii="Times New Roman" w:hAnsi="Times New Roman" w:cs="Times New Roman"/>
          <w:sz w:val="24"/>
          <w:szCs w:val="24"/>
        </w:rPr>
      </w:pPr>
      <w:r w:rsidRPr="005C794F">
        <w:rPr>
          <w:rFonts w:ascii="Times New Roman" w:hAnsi="Times New Roman" w:cs="Times New Roman"/>
          <w:sz w:val="24"/>
          <w:szCs w:val="24"/>
        </w:rPr>
        <w:t>Accessible grievance mechanism shall be established, publicized, maintained and operated in a transparent manner that is culturally appropriate and readily accessible to all Project-affected parties, at no cost and without retribution, including concerns and grievances filed anonymously, in a manner consistent with ESS10. The grievance mechanism shall also receive, register and address concerns and grievances related to the sexual exploitation and abuse, sexual harassment in a safe and confidential manner, including through the referral of survivors to gender-based violence service providers</w:t>
      </w:r>
    </w:p>
    <w:p w14:paraId="4201A70F" w14:textId="11082F51" w:rsidR="001025A3" w:rsidRDefault="001025A3" w:rsidP="000A41D4">
      <w:pPr>
        <w:spacing w:line="276" w:lineRule="auto"/>
        <w:ind w:left="-284"/>
        <w:jc w:val="both"/>
        <w:rPr>
          <w:rFonts w:ascii="Times New Roman" w:hAnsi="Times New Roman" w:cs="Times New Roman"/>
          <w:sz w:val="24"/>
          <w:szCs w:val="24"/>
        </w:rPr>
      </w:pPr>
      <w:r w:rsidRPr="007518F8">
        <w:rPr>
          <w:rFonts w:ascii="Times New Roman" w:hAnsi="Times New Roman" w:cs="Times New Roman"/>
          <w:sz w:val="24"/>
          <w:szCs w:val="24"/>
        </w:rPr>
        <w:t>GRM is a process for receiving, evaluating, and addressing project-related complaints from citizens and affected stakeholders at the level of the project.  The terms ‘grievance ‘and ‘complaint’ are used interchangeably.</w:t>
      </w:r>
    </w:p>
    <w:p w14:paraId="020BF632" w14:textId="696DBD5E" w:rsidR="00306A57" w:rsidRDefault="00306A57" w:rsidP="000A41D4">
      <w:pPr>
        <w:spacing w:line="276" w:lineRule="auto"/>
        <w:ind w:left="-284"/>
        <w:jc w:val="both"/>
        <w:rPr>
          <w:rFonts w:ascii="Times New Roman" w:hAnsi="Times New Roman" w:cs="Times New Roman"/>
          <w:sz w:val="24"/>
          <w:szCs w:val="24"/>
        </w:rPr>
      </w:pPr>
    </w:p>
    <w:p w14:paraId="3206A61A" w14:textId="77777777" w:rsidR="00306A57" w:rsidRPr="007518F8" w:rsidRDefault="00306A57" w:rsidP="000A41D4">
      <w:pPr>
        <w:spacing w:line="276" w:lineRule="auto"/>
        <w:ind w:left="-284"/>
        <w:jc w:val="both"/>
        <w:rPr>
          <w:rFonts w:ascii="Times New Roman" w:hAnsi="Times New Roman" w:cs="Times New Roman"/>
          <w:sz w:val="24"/>
          <w:szCs w:val="24"/>
        </w:rPr>
      </w:pPr>
    </w:p>
    <w:p w14:paraId="50C1A97D" w14:textId="74B413B4" w:rsidR="001025A3" w:rsidRDefault="001025A3" w:rsidP="000A41D4">
      <w:pPr>
        <w:pStyle w:val="1"/>
        <w:ind w:left="-284"/>
        <w:rPr>
          <w:rFonts w:cs="Times New Roman"/>
          <w:szCs w:val="24"/>
        </w:rPr>
      </w:pPr>
      <w:bookmarkStart w:id="24" w:name="_Toc41402621"/>
      <w:bookmarkStart w:id="25" w:name="_Toc65760320"/>
      <w:r w:rsidRPr="007518F8">
        <w:rPr>
          <w:rFonts w:cs="Times New Roman"/>
          <w:szCs w:val="24"/>
        </w:rPr>
        <w:t>6.2 GRM Scope and Use</w:t>
      </w:r>
      <w:bookmarkEnd w:id="24"/>
      <w:bookmarkEnd w:id="25"/>
    </w:p>
    <w:p w14:paraId="3B64D8E0" w14:textId="77777777" w:rsidR="00CD5318" w:rsidRPr="00CD5318" w:rsidRDefault="00CD5318" w:rsidP="000A41D4">
      <w:pPr>
        <w:ind w:left="-284"/>
      </w:pPr>
    </w:p>
    <w:p w14:paraId="308FEFE9" w14:textId="6E825E5A" w:rsidR="001025A3" w:rsidRPr="007518F8" w:rsidRDefault="001025A3" w:rsidP="000A41D4">
      <w:pPr>
        <w:spacing w:line="276" w:lineRule="auto"/>
        <w:ind w:left="-284"/>
        <w:jc w:val="both"/>
        <w:rPr>
          <w:rFonts w:ascii="Times New Roman" w:hAnsi="Times New Roman" w:cs="Times New Roman"/>
          <w:sz w:val="24"/>
          <w:szCs w:val="24"/>
        </w:rPr>
      </w:pPr>
      <w:r w:rsidRPr="007518F8">
        <w:rPr>
          <w:rFonts w:ascii="Times New Roman" w:hAnsi="Times New Roman" w:cs="Times New Roman"/>
          <w:i/>
          <w:sz w:val="24"/>
          <w:szCs w:val="24"/>
        </w:rPr>
        <w:t xml:space="preserve">SCOPE: </w:t>
      </w:r>
      <w:r w:rsidRPr="007518F8">
        <w:rPr>
          <w:rFonts w:ascii="Times New Roman" w:hAnsi="Times New Roman" w:cs="Times New Roman"/>
          <w:sz w:val="24"/>
          <w:szCs w:val="24"/>
        </w:rPr>
        <w:t>GRM will be available for project stakeholders and other interested parties to submit questions, comments, suggestions and/or complaints, or provide any form of feedback</w:t>
      </w:r>
      <w:r w:rsidR="005C794F">
        <w:rPr>
          <w:rFonts w:ascii="Times New Roman" w:hAnsi="Times New Roman" w:cs="Times New Roman"/>
          <w:sz w:val="24"/>
          <w:szCs w:val="24"/>
        </w:rPr>
        <w:t xml:space="preserve"> including anonymous</w:t>
      </w:r>
      <w:r w:rsidRPr="007518F8">
        <w:rPr>
          <w:rFonts w:ascii="Times New Roman" w:hAnsi="Times New Roman" w:cs="Times New Roman"/>
          <w:sz w:val="24"/>
          <w:szCs w:val="24"/>
        </w:rPr>
        <w:t xml:space="preserve"> on all project-funded activities. </w:t>
      </w:r>
    </w:p>
    <w:p w14:paraId="1CF38CC5" w14:textId="77777777" w:rsidR="001025A3" w:rsidRPr="007518F8" w:rsidRDefault="001025A3" w:rsidP="000A41D4">
      <w:pPr>
        <w:spacing w:line="276" w:lineRule="auto"/>
        <w:ind w:left="-284"/>
        <w:jc w:val="both"/>
        <w:rPr>
          <w:rFonts w:ascii="Times New Roman" w:hAnsi="Times New Roman" w:cs="Times New Roman"/>
          <w:sz w:val="24"/>
          <w:szCs w:val="24"/>
        </w:rPr>
      </w:pPr>
      <w:r w:rsidRPr="007518F8">
        <w:rPr>
          <w:rFonts w:ascii="Times New Roman" w:hAnsi="Times New Roman" w:cs="Times New Roman"/>
          <w:i/>
          <w:sz w:val="24"/>
          <w:szCs w:val="24"/>
        </w:rPr>
        <w:t>GRM’s users:</w:t>
      </w:r>
      <w:r w:rsidRPr="007518F8">
        <w:rPr>
          <w:rFonts w:ascii="Times New Roman" w:hAnsi="Times New Roman" w:cs="Times New Roman"/>
          <w:sz w:val="24"/>
          <w:szCs w:val="24"/>
        </w:rPr>
        <w:t xml:space="preserve"> Project beneficiaries, project affected people (i.e. those who will be and/or are likely to be directly or indirectly affected, positively or negatively, by the project), as well as the broader citizenry can use the GRM for the above purposes (see Scope).</w:t>
      </w:r>
    </w:p>
    <w:p w14:paraId="466C3436" w14:textId="77777777" w:rsidR="001025A3" w:rsidRPr="007518F8" w:rsidRDefault="001025A3" w:rsidP="000A41D4">
      <w:pPr>
        <w:spacing w:line="276" w:lineRule="auto"/>
        <w:ind w:left="-284"/>
        <w:jc w:val="both"/>
        <w:rPr>
          <w:rFonts w:ascii="Times New Roman" w:hAnsi="Times New Roman" w:cs="Times New Roman"/>
          <w:sz w:val="24"/>
          <w:szCs w:val="24"/>
        </w:rPr>
      </w:pPr>
      <w:r w:rsidRPr="007518F8">
        <w:rPr>
          <w:rFonts w:ascii="Times New Roman" w:hAnsi="Times New Roman" w:cs="Times New Roman"/>
          <w:i/>
          <w:sz w:val="24"/>
          <w:szCs w:val="24"/>
        </w:rPr>
        <w:t>GRM’s management</w:t>
      </w:r>
      <w:r w:rsidRPr="007518F8">
        <w:rPr>
          <w:rFonts w:ascii="Times New Roman" w:hAnsi="Times New Roman" w:cs="Times New Roman"/>
          <w:sz w:val="24"/>
          <w:szCs w:val="24"/>
        </w:rPr>
        <w:t xml:space="preserve">: The GRM is managed by the MOH`s PIU, under the direct responsibility of PIU director. </w:t>
      </w:r>
    </w:p>
    <w:p w14:paraId="401BE2DE" w14:textId="77777777" w:rsidR="001025A3" w:rsidRPr="007518F8" w:rsidRDefault="001025A3" w:rsidP="000A41D4">
      <w:pPr>
        <w:pStyle w:val="a4"/>
        <w:spacing w:line="276" w:lineRule="auto"/>
        <w:ind w:left="-284"/>
        <w:jc w:val="both"/>
        <w:rPr>
          <w:rFonts w:ascii="Times New Roman" w:hAnsi="Times New Roman" w:cs="Times New Roman"/>
          <w:sz w:val="24"/>
          <w:szCs w:val="24"/>
        </w:rPr>
      </w:pPr>
      <w:r w:rsidRPr="007518F8">
        <w:rPr>
          <w:rFonts w:ascii="Times New Roman" w:hAnsi="Times New Roman" w:cs="Times New Roman"/>
          <w:i/>
          <w:sz w:val="24"/>
          <w:szCs w:val="24"/>
        </w:rPr>
        <w:t xml:space="preserve">Submission of complaints: </w:t>
      </w:r>
      <w:r w:rsidRPr="007518F8">
        <w:rPr>
          <w:rFonts w:ascii="Times New Roman" w:hAnsi="Times New Roman" w:cs="Times New Roman"/>
          <w:sz w:val="24"/>
          <w:szCs w:val="24"/>
        </w:rPr>
        <w:t>Complaints can be expressed at any time throughout project implementation.</w:t>
      </w:r>
    </w:p>
    <w:p w14:paraId="35E808D5" w14:textId="43206271" w:rsidR="00B7553F" w:rsidRDefault="00EB606F" w:rsidP="00EF1D2F">
      <w:pPr>
        <w:pStyle w:val="1"/>
        <w:numPr>
          <w:ilvl w:val="1"/>
          <w:numId w:val="8"/>
        </w:numPr>
        <w:ind w:left="-284" w:firstLine="0"/>
        <w:rPr>
          <w:rFonts w:cs="Times New Roman"/>
          <w:szCs w:val="24"/>
        </w:rPr>
      </w:pPr>
      <w:bookmarkStart w:id="26" w:name="_Toc41402622"/>
      <w:bookmarkStart w:id="27" w:name="_Toc65760321"/>
      <w:r w:rsidRPr="007518F8">
        <w:rPr>
          <w:rFonts w:cs="Times New Roman"/>
          <w:szCs w:val="24"/>
        </w:rPr>
        <w:t>Procedures and Channels to Make Complaints</w:t>
      </w:r>
      <w:bookmarkEnd w:id="26"/>
      <w:bookmarkEnd w:id="27"/>
    </w:p>
    <w:p w14:paraId="4C6D52DB" w14:textId="77777777" w:rsidR="00B7553F" w:rsidRPr="00B7553F" w:rsidRDefault="00B7553F" w:rsidP="000A41D4">
      <w:pPr>
        <w:ind w:left="-284"/>
      </w:pPr>
    </w:p>
    <w:p w14:paraId="39C5F3E0"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The Project-level GRM mechanism will be available to project stakeholders including those who believe are negatively affected by the project to submit questions, comments, suggestions and/or complaints and provide any form of feedback on all project-funded activities. A GRM will also be established at all beneficiary health institutions where the project activities are implemented, including COVID-19 activities, that are available to local population and the staff of beneficiary health institutions.</w:t>
      </w:r>
    </w:p>
    <w:p w14:paraId="7A29AC5E"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GRM shall establish mechanisms and procedures for: </w:t>
      </w:r>
    </w:p>
    <w:p w14:paraId="2BC683BE"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Channel(s) to make complaints; </w:t>
      </w:r>
    </w:p>
    <w:p w14:paraId="79B8D195"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Registration of complaints and keeping logbook; </w:t>
      </w:r>
    </w:p>
    <w:p w14:paraId="424D3EDC"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Investigation of the event(s) and their consequences; </w:t>
      </w:r>
    </w:p>
    <w:p w14:paraId="28714FF8"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 xml:space="preserve">Response to the complainant; </w:t>
      </w:r>
    </w:p>
    <w:p w14:paraId="1E15B2F7"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w:t>
      </w:r>
      <w:r w:rsidRPr="00203885">
        <w:rPr>
          <w:rStyle w:val="A00"/>
          <w:rFonts w:ascii="Times New Roman" w:hAnsi="Times New Roman" w:cs="Times New Roman"/>
          <w:sz w:val="24"/>
          <w:szCs w:val="24"/>
        </w:rPr>
        <w:tab/>
        <w:t>Right of complainant to appeal.</w:t>
      </w:r>
    </w:p>
    <w:p w14:paraId="417F675A" w14:textId="77777777" w:rsidR="00203885" w:rsidRPr="00203885" w:rsidRDefault="00203885" w:rsidP="00203885">
      <w:pPr>
        <w:ind w:left="-284"/>
        <w:jc w:val="both"/>
        <w:rPr>
          <w:rStyle w:val="A00"/>
          <w:rFonts w:ascii="Times New Roman" w:hAnsi="Times New Roman" w:cs="Times New Roman"/>
          <w:sz w:val="24"/>
          <w:szCs w:val="24"/>
        </w:rPr>
      </w:pPr>
    </w:p>
    <w:p w14:paraId="4FACB552"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Project stakeholders will be able to submit questions, complaints and compliments/suggestions through the GRM, without disclosing the identify if so wished (anonymous requests).  The GRM will focus not only on receiving and recording feedback, questions and complaints but also on how complaints are responded to and resolved.  </w:t>
      </w:r>
    </w:p>
    <w:p w14:paraId="2FB4EB86" w14:textId="77777777" w:rsidR="00203885" w:rsidRPr="00203885" w:rsidRDefault="00203885" w:rsidP="00203885">
      <w:pPr>
        <w:ind w:left="-284"/>
        <w:jc w:val="both"/>
        <w:rPr>
          <w:rStyle w:val="A00"/>
          <w:rFonts w:ascii="Times New Roman" w:hAnsi="Times New Roman" w:cs="Times New Roman"/>
          <w:sz w:val="24"/>
          <w:szCs w:val="24"/>
        </w:rPr>
      </w:pPr>
    </w:p>
    <w:p w14:paraId="4ABC3A43"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The GRM will be established at 3 levels:</w:t>
      </w:r>
    </w:p>
    <w:p w14:paraId="3213FA3A" w14:textId="77777777" w:rsidR="00203885" w:rsidRPr="00203885" w:rsidRDefault="00203885" w:rsidP="00203885">
      <w:pPr>
        <w:ind w:left="-284"/>
        <w:jc w:val="both"/>
        <w:rPr>
          <w:rStyle w:val="A00"/>
          <w:rFonts w:ascii="Times New Roman" w:hAnsi="Times New Roman" w:cs="Times New Roman"/>
          <w:sz w:val="24"/>
          <w:szCs w:val="24"/>
        </w:rPr>
      </w:pPr>
    </w:p>
    <w:p w14:paraId="43734D66" w14:textId="0EEE66DE" w:rsid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Level 1. Health facility site. All beneficiary health institutions will establish a GRM at the facility level.  The channels for grievance submission will be disclosed near reception area of the healthcare facility, chief doctor’s office or the </w:t>
      </w:r>
      <w:r>
        <w:rPr>
          <w:rStyle w:val="A00"/>
          <w:rFonts w:ascii="Times New Roman" w:hAnsi="Times New Roman" w:cs="Times New Roman"/>
          <w:sz w:val="24"/>
          <w:szCs w:val="24"/>
        </w:rPr>
        <w:t>testing/vaccination</w:t>
      </w:r>
      <w:r w:rsidRPr="00203885">
        <w:rPr>
          <w:rStyle w:val="A00"/>
          <w:rFonts w:ascii="Times New Roman" w:hAnsi="Times New Roman" w:cs="Times New Roman"/>
          <w:sz w:val="24"/>
          <w:szCs w:val="24"/>
        </w:rPr>
        <w:t xml:space="preserve"> site if applicable. Special grievance box will be available for submitting grievances (including anonymous). The local focal point during 3 days should decide who is responsible for addressing the grievance and forward it accordingly. Collected information will be documented at health facility level GRM log and submitted to the central level PIU for GRM Focal Point attention and acknowledgment in project GRM log.</w:t>
      </w:r>
    </w:p>
    <w:p w14:paraId="2AE7E573" w14:textId="3C0F3510" w:rsid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Level 2. Local authorities also could receive the grievances or appeals related to the project activity. According to Law of Ukraine "On citizens appeals" the period for grievance addressing </w:t>
      </w:r>
      <w:r w:rsidR="00FD37CE" w:rsidRPr="00203885">
        <w:rPr>
          <w:rStyle w:val="A00"/>
          <w:rFonts w:ascii="Times New Roman" w:hAnsi="Times New Roman" w:cs="Times New Roman"/>
          <w:sz w:val="24"/>
          <w:szCs w:val="24"/>
        </w:rPr>
        <w:t>can’t</w:t>
      </w:r>
      <w:r w:rsidRPr="00203885">
        <w:rPr>
          <w:rStyle w:val="A00"/>
          <w:rFonts w:ascii="Times New Roman" w:hAnsi="Times New Roman" w:cs="Times New Roman"/>
          <w:sz w:val="24"/>
          <w:szCs w:val="24"/>
        </w:rPr>
        <w:t xml:space="preserve"> exceed more than 30 calendar days. The PIU will periodically request info regarding grievances received by local authorities and incorporate it to the grievance log with status of grievance/appeal resolution. </w:t>
      </w:r>
    </w:p>
    <w:p w14:paraId="2976C28A" w14:textId="2E73823A"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 xml:space="preserve">Level 3. PIU – In case if the Complainant has not been satisfied with the results of grievance consideration at the local level, he/she can also submit the grievance to PIU which have designated focal person. The designated person should review the complaint during 3 business days and identify relevant circumstances of the situation. The corrective measures should take place within 10 business days and the response provided to the complainant during 5 business days after closing of the grievance. </w:t>
      </w:r>
    </w:p>
    <w:p w14:paraId="4C11FB14"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In case, if more time needed for addressing the complaint, the complainant will be further notified.</w:t>
      </w:r>
    </w:p>
    <w:p w14:paraId="68DA0B06" w14:textId="77777777" w:rsidR="00203885" w:rsidRPr="00203885" w:rsidRDefault="00203885" w:rsidP="00203885">
      <w:pPr>
        <w:ind w:left="-284"/>
        <w:jc w:val="both"/>
        <w:rPr>
          <w:rStyle w:val="A00"/>
          <w:rFonts w:ascii="Times New Roman" w:hAnsi="Times New Roman" w:cs="Times New Roman"/>
          <w:sz w:val="24"/>
          <w:szCs w:val="24"/>
        </w:rPr>
      </w:pPr>
    </w:p>
    <w:p w14:paraId="7211BE64" w14:textId="0FDF172C" w:rsid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The complainant will be able to submit grievance to PIU on address:</w:t>
      </w:r>
    </w:p>
    <w:p w14:paraId="72E99123"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Ministry of Health of Ukraine</w:t>
      </w:r>
    </w:p>
    <w:p w14:paraId="0571D72A" w14:textId="77777777" w:rsidR="00203885" w:rsidRPr="00203885" w:rsidRDefault="00203885" w:rsidP="00203885">
      <w:pPr>
        <w:ind w:left="-284"/>
        <w:jc w:val="both"/>
        <w:rPr>
          <w:rStyle w:val="A00"/>
          <w:rFonts w:ascii="Times New Roman" w:hAnsi="Times New Roman" w:cs="Times New Roman"/>
          <w:sz w:val="24"/>
          <w:szCs w:val="24"/>
        </w:rPr>
      </w:pPr>
    </w:p>
    <w:p w14:paraId="7B582C03" w14:textId="2EBFCAF1" w:rsidR="00203885" w:rsidRPr="00203885" w:rsidRDefault="00203885" w:rsidP="00203885">
      <w:pPr>
        <w:ind w:left="-284"/>
        <w:jc w:val="both"/>
        <w:rPr>
          <w:rStyle w:val="A00"/>
          <w:rFonts w:ascii="Times New Roman" w:hAnsi="Times New Roman" w:cs="Times New Roman"/>
          <w:sz w:val="24"/>
          <w:szCs w:val="24"/>
        </w:rPr>
      </w:pPr>
      <w:r>
        <w:rPr>
          <w:rStyle w:val="A00"/>
          <w:rFonts w:ascii="Times New Roman" w:hAnsi="Times New Roman" w:cs="Times New Roman"/>
          <w:sz w:val="24"/>
          <w:szCs w:val="24"/>
        </w:rPr>
        <w:t>COVID-19 Emergency response Vaccination</w:t>
      </w:r>
      <w:r w:rsidRPr="00203885">
        <w:rPr>
          <w:rStyle w:val="A00"/>
          <w:rFonts w:ascii="Times New Roman" w:hAnsi="Times New Roman" w:cs="Times New Roman"/>
          <w:sz w:val="24"/>
          <w:szCs w:val="24"/>
        </w:rPr>
        <w:t xml:space="preserve"> Project Team</w:t>
      </w:r>
    </w:p>
    <w:p w14:paraId="009D736B" w14:textId="77777777" w:rsidR="00203885" w:rsidRPr="00203885" w:rsidRDefault="00203885" w:rsidP="00203885">
      <w:pPr>
        <w:ind w:left="-284"/>
        <w:jc w:val="both"/>
        <w:rPr>
          <w:rStyle w:val="A00"/>
          <w:rFonts w:ascii="Times New Roman" w:hAnsi="Times New Roman" w:cs="Times New Roman"/>
          <w:sz w:val="24"/>
          <w:szCs w:val="24"/>
        </w:rPr>
      </w:pPr>
    </w:p>
    <w:p w14:paraId="33617AF5"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Grushevskogo Street 7</w:t>
      </w:r>
    </w:p>
    <w:p w14:paraId="3DB6CD7D" w14:textId="77777777" w:rsidR="00203885" w:rsidRPr="00203885" w:rsidRDefault="00203885" w:rsidP="00203885">
      <w:pPr>
        <w:ind w:left="-284"/>
        <w:jc w:val="both"/>
        <w:rPr>
          <w:rStyle w:val="A00"/>
          <w:rFonts w:ascii="Times New Roman" w:hAnsi="Times New Roman" w:cs="Times New Roman"/>
          <w:sz w:val="24"/>
          <w:szCs w:val="24"/>
        </w:rPr>
      </w:pPr>
    </w:p>
    <w:p w14:paraId="28F61A80" w14:textId="77777777" w:rsidR="00203885" w:rsidRP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01601, Kyiv</w:t>
      </w:r>
    </w:p>
    <w:p w14:paraId="046379D2" w14:textId="77777777" w:rsidR="00203885" w:rsidRPr="00203885" w:rsidRDefault="00203885" w:rsidP="00203885">
      <w:pPr>
        <w:ind w:left="-284"/>
        <w:jc w:val="both"/>
        <w:rPr>
          <w:rStyle w:val="A00"/>
          <w:rFonts w:ascii="Times New Roman" w:hAnsi="Times New Roman" w:cs="Times New Roman"/>
          <w:sz w:val="24"/>
          <w:szCs w:val="24"/>
        </w:rPr>
      </w:pPr>
    </w:p>
    <w:p w14:paraId="7C88BA76" w14:textId="7F016C9F" w:rsidR="00203885" w:rsidRDefault="00203885" w:rsidP="00203885">
      <w:pPr>
        <w:ind w:left="-284"/>
        <w:jc w:val="both"/>
        <w:rPr>
          <w:rStyle w:val="A00"/>
          <w:rFonts w:ascii="Times New Roman" w:hAnsi="Times New Roman" w:cs="Times New Roman"/>
          <w:sz w:val="24"/>
          <w:szCs w:val="24"/>
        </w:rPr>
      </w:pPr>
      <w:r w:rsidRPr="00203885">
        <w:rPr>
          <w:rStyle w:val="A00"/>
          <w:rFonts w:ascii="Times New Roman" w:hAnsi="Times New Roman" w:cs="Times New Roman"/>
          <w:sz w:val="24"/>
          <w:szCs w:val="24"/>
        </w:rPr>
        <w:t>Email: moz@moz.gov.ua; j.kohut.moz@gmail.com</w:t>
      </w:r>
    </w:p>
    <w:p w14:paraId="26E0E637" w14:textId="3A874292" w:rsidR="00CD5318" w:rsidRDefault="00CD5318" w:rsidP="000A41D4">
      <w:pPr>
        <w:ind w:left="-284"/>
        <w:jc w:val="both"/>
        <w:rPr>
          <w:rStyle w:val="A00"/>
          <w:rFonts w:ascii="Times New Roman" w:hAnsi="Times New Roman" w:cs="Times New Roman"/>
          <w:sz w:val="24"/>
          <w:szCs w:val="24"/>
        </w:rPr>
      </w:pPr>
      <w:r>
        <w:rPr>
          <w:rStyle w:val="A00"/>
          <w:rFonts w:ascii="Times New Roman" w:hAnsi="Times New Roman" w:cs="Times New Roman"/>
          <w:sz w:val="24"/>
          <w:szCs w:val="24"/>
        </w:rPr>
        <w:t>C</w:t>
      </w:r>
      <w:r w:rsidR="00EB606F" w:rsidRPr="007518F8">
        <w:rPr>
          <w:rStyle w:val="A00"/>
          <w:rFonts w:ascii="Times New Roman" w:hAnsi="Times New Roman" w:cs="Times New Roman"/>
          <w:sz w:val="24"/>
          <w:szCs w:val="24"/>
        </w:rPr>
        <w:t xml:space="preserve">itizens’ appeals, complaints and recommendations procedure is specified in the Law On Citizens’ Appeals and amendments to the latter through the 2015 amendment on Electronic Petitions.  </w:t>
      </w:r>
    </w:p>
    <w:p w14:paraId="379B9F91" w14:textId="77777777" w:rsidR="000E4046" w:rsidRDefault="00EB606F" w:rsidP="000A41D4">
      <w:pPr>
        <w:ind w:left="-284"/>
        <w:jc w:val="both"/>
        <w:rPr>
          <w:rFonts w:ascii="Times New Roman" w:hAnsi="Times New Roman" w:cs="Times New Roman"/>
          <w:color w:val="000000"/>
          <w:sz w:val="24"/>
          <w:szCs w:val="24"/>
        </w:rPr>
      </w:pPr>
      <w:r w:rsidRPr="007518F8">
        <w:rPr>
          <w:rStyle w:val="A00"/>
          <w:rFonts w:ascii="Times New Roman" w:hAnsi="Times New Roman" w:cs="Times New Roman"/>
          <w:sz w:val="24"/>
          <w:szCs w:val="24"/>
        </w:rPr>
        <w:t xml:space="preserve">According to the mentioned law and Constitutional Article 40, </w:t>
      </w:r>
      <w:r w:rsidRPr="007518F8">
        <w:rPr>
          <w:rFonts w:ascii="Times New Roman" w:hAnsi="Times New Roman" w:cs="Times New Roman"/>
          <w:sz w:val="24"/>
          <w:szCs w:val="24"/>
        </w:rPr>
        <w:t xml:space="preserve">the Project proposes the following channels through which citizens, beneficiaries and PAPs can make complaints regarding project-funded activities: </w:t>
      </w:r>
    </w:p>
    <w:p w14:paraId="00A7C585" w14:textId="77777777" w:rsidR="000E4046" w:rsidRPr="0023296D" w:rsidRDefault="00EC0B99" w:rsidP="00EF1D2F">
      <w:pPr>
        <w:pStyle w:val="a4"/>
        <w:numPr>
          <w:ilvl w:val="0"/>
          <w:numId w:val="4"/>
        </w:numPr>
        <w:ind w:left="-284" w:firstLine="0"/>
        <w:jc w:val="both"/>
        <w:rPr>
          <w:rFonts w:ascii="Times New Roman" w:hAnsi="Times New Roman" w:cs="Times New Roman"/>
          <w:color w:val="000000"/>
          <w:sz w:val="24"/>
          <w:szCs w:val="24"/>
        </w:rPr>
      </w:pPr>
      <w:r w:rsidRPr="0023296D">
        <w:rPr>
          <w:rFonts w:ascii="Times New Roman" w:hAnsi="Times New Roman" w:cs="Times New Roman"/>
          <w:sz w:val="24"/>
          <w:szCs w:val="24"/>
        </w:rPr>
        <w:t xml:space="preserve">By </w:t>
      </w:r>
      <w:r w:rsidR="00CD5318" w:rsidRPr="0023296D">
        <w:rPr>
          <w:rFonts w:ascii="Times New Roman" w:hAnsi="Times New Roman" w:cs="Times New Roman"/>
          <w:sz w:val="24"/>
          <w:szCs w:val="24"/>
        </w:rPr>
        <w:t xml:space="preserve">the MOH </w:t>
      </w:r>
      <w:r w:rsidRPr="0023296D">
        <w:rPr>
          <w:rFonts w:ascii="Times New Roman" w:hAnsi="Times New Roman" w:cs="Times New Roman"/>
          <w:sz w:val="24"/>
          <w:szCs w:val="24"/>
        </w:rPr>
        <w:t xml:space="preserve"> hotline number</w:t>
      </w:r>
      <w:r w:rsidRPr="0023296D">
        <w:rPr>
          <w:rFonts w:ascii="Times New Roman" w:hAnsi="Times New Roman" w:cs="Times New Roman"/>
          <w:sz w:val="24"/>
          <w:szCs w:val="24"/>
          <w:lang w:val="uk-UA"/>
        </w:rPr>
        <w:t xml:space="preserve">: </w:t>
      </w:r>
      <w:r w:rsidR="000E4046" w:rsidRPr="0023296D">
        <w:rPr>
          <w:rFonts w:ascii="Times New Roman" w:hAnsi="Times New Roman" w:cs="Times New Roman"/>
          <w:sz w:val="24"/>
          <w:szCs w:val="24"/>
          <w:lang w:val="uk-UA"/>
        </w:rPr>
        <w:t>0-800-60-2019</w:t>
      </w:r>
    </w:p>
    <w:p w14:paraId="71CEE920" w14:textId="345D66E9" w:rsidR="000E4046" w:rsidRPr="0023296D" w:rsidRDefault="00EB606F" w:rsidP="00EF1D2F">
      <w:pPr>
        <w:pStyle w:val="a4"/>
        <w:numPr>
          <w:ilvl w:val="0"/>
          <w:numId w:val="4"/>
        </w:numPr>
        <w:ind w:left="-284" w:firstLine="0"/>
        <w:jc w:val="both"/>
        <w:rPr>
          <w:rFonts w:ascii="Times New Roman" w:hAnsi="Times New Roman" w:cs="Times New Roman"/>
          <w:color w:val="000000"/>
          <w:sz w:val="24"/>
          <w:szCs w:val="24"/>
        </w:rPr>
      </w:pPr>
      <w:r w:rsidRPr="0023296D">
        <w:rPr>
          <w:rFonts w:ascii="Times New Roman" w:hAnsi="Times New Roman" w:cs="Times New Roman"/>
          <w:sz w:val="24"/>
          <w:szCs w:val="24"/>
          <w:u w:val="single"/>
        </w:rPr>
        <w:t>B</w:t>
      </w:r>
      <w:r w:rsidR="00BE3EFB" w:rsidRPr="0023296D">
        <w:rPr>
          <w:rFonts w:ascii="Times New Roman" w:hAnsi="Times New Roman" w:cs="Times New Roman"/>
          <w:sz w:val="24"/>
          <w:szCs w:val="24"/>
          <w:u w:val="single"/>
        </w:rPr>
        <w:t xml:space="preserve">y </w:t>
      </w:r>
      <w:r w:rsidR="000E4046" w:rsidRPr="0023296D">
        <w:rPr>
          <w:rFonts w:ascii="Times New Roman" w:hAnsi="Times New Roman" w:cs="Times New Roman"/>
          <w:sz w:val="24"/>
          <w:szCs w:val="24"/>
        </w:rPr>
        <w:t xml:space="preserve">E-mail: </w:t>
      </w:r>
      <w:bookmarkStart w:id="28" w:name="_Hlk62678332"/>
      <w:r w:rsidR="000E4046" w:rsidRPr="0023296D">
        <w:rPr>
          <w:rFonts w:ascii="Times New Roman" w:hAnsi="Times New Roman" w:cs="Times New Roman"/>
          <w:sz w:val="24"/>
          <w:szCs w:val="24"/>
        </w:rPr>
        <w:t>moz@moz.gov.ua</w:t>
      </w:r>
      <w:r w:rsidR="00BE3EFB" w:rsidRPr="0023296D">
        <w:rPr>
          <w:rFonts w:ascii="Times New Roman" w:hAnsi="Times New Roman" w:cs="Times New Roman"/>
          <w:sz w:val="24"/>
          <w:szCs w:val="24"/>
          <w:lang w:val="uk-UA"/>
        </w:rPr>
        <w:t>;</w:t>
      </w:r>
      <w:r w:rsidRPr="0023296D">
        <w:rPr>
          <w:rFonts w:ascii="Times New Roman" w:hAnsi="Times New Roman" w:cs="Times New Roman"/>
          <w:sz w:val="24"/>
          <w:szCs w:val="24"/>
        </w:rPr>
        <w:t xml:space="preserve"> </w:t>
      </w:r>
      <w:r w:rsidR="000E4046" w:rsidRPr="0023296D">
        <w:rPr>
          <w:rFonts w:ascii="Times New Roman" w:hAnsi="Times New Roman" w:cs="Times New Roman"/>
          <w:sz w:val="24"/>
          <w:szCs w:val="24"/>
        </w:rPr>
        <w:t>j.kohut.moz@gmail.com</w:t>
      </w:r>
      <w:bookmarkEnd w:id="28"/>
    </w:p>
    <w:p w14:paraId="3CF44605" w14:textId="2057B5A0" w:rsidR="000E4046" w:rsidRPr="0023296D" w:rsidRDefault="00EB606F" w:rsidP="00EF1D2F">
      <w:pPr>
        <w:pStyle w:val="a4"/>
        <w:numPr>
          <w:ilvl w:val="0"/>
          <w:numId w:val="4"/>
        </w:numPr>
        <w:ind w:left="-284" w:firstLine="0"/>
        <w:jc w:val="both"/>
        <w:rPr>
          <w:rFonts w:ascii="Times New Roman" w:hAnsi="Times New Roman" w:cs="Times New Roman"/>
          <w:color w:val="000000"/>
          <w:sz w:val="24"/>
          <w:szCs w:val="24"/>
        </w:rPr>
      </w:pPr>
      <w:r w:rsidRPr="0023296D">
        <w:rPr>
          <w:rFonts w:ascii="Times New Roman" w:hAnsi="Times New Roman" w:cs="Times New Roman"/>
          <w:sz w:val="24"/>
          <w:szCs w:val="24"/>
          <w:u w:val="single"/>
        </w:rPr>
        <w:t>Through the following web page:</w:t>
      </w:r>
      <w:r w:rsidRPr="0023296D">
        <w:rPr>
          <w:rFonts w:ascii="Times New Roman" w:hAnsi="Times New Roman" w:cs="Times New Roman"/>
          <w:sz w:val="24"/>
          <w:szCs w:val="24"/>
        </w:rPr>
        <w:t xml:space="preserve"> </w:t>
      </w:r>
      <w:r w:rsidR="00CB78D7" w:rsidRPr="0023296D">
        <w:rPr>
          <w:rFonts w:ascii="Times New Roman" w:hAnsi="Times New Roman" w:cs="Times New Roman"/>
          <w:sz w:val="24"/>
          <w:szCs w:val="24"/>
        </w:rPr>
        <w:t xml:space="preserve">wb.moz.gov.ua </w:t>
      </w:r>
    </w:p>
    <w:p w14:paraId="5BC90E5A" w14:textId="69410079" w:rsidR="000E4046" w:rsidRPr="0023296D" w:rsidRDefault="00EB606F" w:rsidP="00EF1D2F">
      <w:pPr>
        <w:pStyle w:val="a4"/>
        <w:numPr>
          <w:ilvl w:val="0"/>
          <w:numId w:val="4"/>
        </w:numPr>
        <w:ind w:left="-284" w:firstLine="0"/>
        <w:jc w:val="both"/>
        <w:rPr>
          <w:rFonts w:ascii="Times New Roman" w:hAnsi="Times New Roman" w:cs="Times New Roman"/>
          <w:color w:val="000000"/>
          <w:sz w:val="24"/>
          <w:szCs w:val="24"/>
        </w:rPr>
      </w:pPr>
      <w:r w:rsidRPr="0023296D">
        <w:rPr>
          <w:rFonts w:ascii="Times New Roman" w:hAnsi="Times New Roman" w:cs="Times New Roman"/>
          <w:sz w:val="24"/>
          <w:szCs w:val="24"/>
          <w:u w:val="single"/>
        </w:rPr>
        <w:t>In writing to MO</w:t>
      </w:r>
      <w:r w:rsidR="0023296D">
        <w:rPr>
          <w:rFonts w:ascii="Times New Roman" w:hAnsi="Times New Roman" w:cs="Times New Roman"/>
          <w:sz w:val="24"/>
          <w:szCs w:val="24"/>
          <w:u w:val="single"/>
        </w:rPr>
        <w:t>H</w:t>
      </w:r>
    </w:p>
    <w:p w14:paraId="44F652A0" w14:textId="2E6E3FF3" w:rsidR="000E4046" w:rsidRPr="001C6166" w:rsidRDefault="00EB606F" w:rsidP="00EF1D2F">
      <w:pPr>
        <w:pStyle w:val="a4"/>
        <w:numPr>
          <w:ilvl w:val="0"/>
          <w:numId w:val="4"/>
        </w:numPr>
        <w:ind w:left="-284" w:firstLine="0"/>
        <w:jc w:val="both"/>
        <w:rPr>
          <w:rFonts w:ascii="Times New Roman" w:hAnsi="Times New Roman" w:cs="Times New Roman"/>
          <w:color w:val="000000"/>
          <w:sz w:val="24"/>
          <w:szCs w:val="24"/>
        </w:rPr>
      </w:pPr>
      <w:r w:rsidRPr="000E4046">
        <w:rPr>
          <w:rFonts w:ascii="Times New Roman" w:hAnsi="Times New Roman" w:cs="Times New Roman"/>
          <w:sz w:val="24"/>
          <w:szCs w:val="24"/>
          <w:u w:val="single"/>
        </w:rPr>
        <w:t>In person:</w:t>
      </w:r>
      <w:r w:rsidRPr="000E4046">
        <w:rPr>
          <w:rFonts w:ascii="Times New Roman" w:hAnsi="Times New Roman" w:cs="Times New Roman"/>
          <w:sz w:val="24"/>
          <w:szCs w:val="24"/>
        </w:rPr>
        <w:t xml:space="preserve"> at the above addresses or at the addresses of delegated authority by the latter</w:t>
      </w:r>
    </w:p>
    <w:p w14:paraId="56981AAD" w14:textId="2E0707CD" w:rsidR="003C58CE" w:rsidRDefault="003C58CE" w:rsidP="00EF1D2F">
      <w:pPr>
        <w:pStyle w:val="a4"/>
        <w:numPr>
          <w:ilvl w:val="0"/>
          <w:numId w:val="4"/>
        </w:numPr>
        <w:ind w:left="-28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3C58CE">
        <w:rPr>
          <w:rFonts w:ascii="Times New Roman" w:hAnsi="Times New Roman" w:cs="Times New Roman"/>
          <w:color w:val="000000"/>
          <w:sz w:val="24"/>
          <w:szCs w:val="24"/>
        </w:rPr>
        <w:t>omplaint box at health care facilities</w:t>
      </w:r>
      <w:r w:rsidR="00203885">
        <w:rPr>
          <w:rFonts w:ascii="Times New Roman" w:hAnsi="Times New Roman" w:cs="Times New Roman"/>
          <w:color w:val="000000"/>
          <w:sz w:val="24"/>
          <w:szCs w:val="24"/>
        </w:rPr>
        <w:t xml:space="preserve"> </w:t>
      </w:r>
      <w:r w:rsidR="00203885" w:rsidRPr="00203885">
        <w:rPr>
          <w:rFonts w:ascii="Times New Roman" w:hAnsi="Times New Roman" w:cs="Times New Roman"/>
          <w:color w:val="000000"/>
          <w:sz w:val="24"/>
          <w:szCs w:val="24"/>
        </w:rPr>
        <w:t>with indication of the contact information for feedback (full name, contact telephone number, e-mail address).</w:t>
      </w:r>
    </w:p>
    <w:p w14:paraId="65E9FFE7" w14:textId="38CC8AC8" w:rsidR="00EB606F" w:rsidRPr="000E4046" w:rsidRDefault="00EB606F" w:rsidP="00EF1D2F">
      <w:pPr>
        <w:pStyle w:val="a4"/>
        <w:numPr>
          <w:ilvl w:val="0"/>
          <w:numId w:val="4"/>
        </w:numPr>
        <w:ind w:left="-284" w:firstLine="0"/>
        <w:jc w:val="both"/>
        <w:rPr>
          <w:rFonts w:ascii="Times New Roman" w:hAnsi="Times New Roman" w:cs="Times New Roman"/>
          <w:color w:val="000000"/>
          <w:sz w:val="24"/>
          <w:szCs w:val="24"/>
        </w:rPr>
      </w:pPr>
      <w:r w:rsidRPr="000E4046">
        <w:rPr>
          <w:rFonts w:ascii="Times New Roman" w:hAnsi="Times New Roman" w:cs="Times New Roman"/>
          <w:sz w:val="24"/>
          <w:szCs w:val="24"/>
          <w:u w:val="single"/>
        </w:rPr>
        <w:t>Other</w:t>
      </w:r>
      <w:r w:rsidRPr="000E4046">
        <w:rPr>
          <w:rFonts w:ascii="Times New Roman" w:hAnsi="Times New Roman" w:cs="Times New Roman"/>
          <w:sz w:val="24"/>
          <w:szCs w:val="24"/>
        </w:rPr>
        <w:t>:  Written complaints to project staff (through project meetings)</w:t>
      </w:r>
    </w:p>
    <w:p w14:paraId="5D0B22EC" w14:textId="77777777" w:rsidR="00EB606F" w:rsidRPr="007518F8" w:rsidRDefault="00EB606F" w:rsidP="000A41D4">
      <w:pPr>
        <w:pStyle w:val="a4"/>
        <w:ind w:left="-284"/>
        <w:jc w:val="both"/>
        <w:rPr>
          <w:rFonts w:ascii="Times New Roman" w:hAnsi="Times New Roman" w:cs="Times New Roman"/>
          <w:sz w:val="24"/>
          <w:szCs w:val="24"/>
        </w:rPr>
      </w:pPr>
    </w:p>
    <w:p w14:paraId="0F47A80E" w14:textId="77777777"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project shall ensure flexibility in the channels available for complaints, as well as ensure accessibility to the contact information for individuals who make complaints.  </w:t>
      </w:r>
    </w:p>
    <w:p w14:paraId="4B06DF47" w14:textId="60649C56" w:rsidR="00EB606F" w:rsidRPr="007518F8" w:rsidRDefault="00EB606F" w:rsidP="000A41D4">
      <w:pPr>
        <w:ind w:left="-284"/>
        <w:jc w:val="both"/>
        <w:rPr>
          <w:rFonts w:ascii="Times New Roman" w:eastAsia="Times New Roman" w:hAnsi="Times New Roman" w:cs="Times New Roman"/>
          <w:color w:val="000000" w:themeColor="text1"/>
          <w:sz w:val="24"/>
          <w:szCs w:val="24"/>
          <w:shd w:val="clear" w:color="auto" w:fill="FFFFFF"/>
        </w:rPr>
      </w:pPr>
      <w:r w:rsidRPr="007518F8">
        <w:rPr>
          <w:rFonts w:ascii="Times New Roman" w:eastAsia="Times New Roman" w:hAnsi="Times New Roman" w:cs="Times New Roman"/>
          <w:color w:val="000000" w:themeColor="text1"/>
          <w:sz w:val="24"/>
          <w:szCs w:val="24"/>
          <w:shd w:val="clear" w:color="auto" w:fill="FFFFFF"/>
        </w:rPr>
        <w:t xml:space="preserve">To this effect, </w:t>
      </w:r>
      <w:r w:rsidR="00CD5318">
        <w:rPr>
          <w:rFonts w:ascii="Times New Roman" w:eastAsia="Times New Roman" w:hAnsi="Times New Roman" w:cs="Times New Roman"/>
          <w:color w:val="000000" w:themeColor="text1"/>
          <w:sz w:val="24"/>
          <w:szCs w:val="24"/>
          <w:shd w:val="clear" w:color="auto" w:fill="FFFFFF"/>
        </w:rPr>
        <w:t>in addition to the GRM</w:t>
      </w:r>
      <w:r w:rsidRPr="007518F8">
        <w:rPr>
          <w:rFonts w:ascii="Times New Roman" w:eastAsia="Times New Roman" w:hAnsi="Times New Roman" w:cs="Times New Roman"/>
          <w:color w:val="000000" w:themeColor="text1"/>
          <w:sz w:val="24"/>
          <w:szCs w:val="24"/>
          <w:shd w:val="clear" w:color="auto" w:fill="FFFFFF"/>
        </w:rPr>
        <w:t xml:space="preserve"> provided by the project (Annex </w:t>
      </w:r>
      <w:r w:rsidR="004C47B5">
        <w:rPr>
          <w:rFonts w:ascii="Times New Roman" w:eastAsia="Times New Roman" w:hAnsi="Times New Roman" w:cs="Times New Roman"/>
          <w:color w:val="000000" w:themeColor="text1"/>
          <w:sz w:val="24"/>
          <w:szCs w:val="24"/>
          <w:shd w:val="clear" w:color="auto" w:fill="FFFFFF"/>
        </w:rPr>
        <w:t>1</w:t>
      </w:r>
      <w:r w:rsidRPr="007518F8">
        <w:rPr>
          <w:rFonts w:ascii="Times New Roman" w:eastAsia="Times New Roman" w:hAnsi="Times New Roman" w:cs="Times New Roman"/>
          <w:color w:val="000000" w:themeColor="text1"/>
          <w:sz w:val="24"/>
          <w:szCs w:val="24"/>
          <w:shd w:val="clear" w:color="auto" w:fill="FFFFFF"/>
        </w:rPr>
        <w:t>), citizens can also file their appeals in accordance with Article 5 of the Law of Ukraine On Citizens’ Appeals. In the latter case, the appeals filed by citizens should contain full name, place of residence, the issue of the question, comment, application, claim, statement, request or demand. A written appeal should be signed and dated by the appealer (appealers).</w:t>
      </w:r>
      <w:r w:rsidRPr="007518F8">
        <w:rPr>
          <w:rFonts w:ascii="Times New Roman" w:eastAsia="Times New Roman" w:hAnsi="Times New Roman" w:cs="Times New Roman"/>
          <w:color w:val="000000" w:themeColor="text1"/>
          <w:sz w:val="24"/>
          <w:szCs w:val="24"/>
        </w:rPr>
        <w:t xml:space="preserve"> </w:t>
      </w:r>
      <w:r w:rsidRPr="007518F8">
        <w:rPr>
          <w:rFonts w:ascii="Times New Roman" w:eastAsia="Times New Roman" w:hAnsi="Times New Roman" w:cs="Times New Roman"/>
          <w:color w:val="000000" w:themeColor="text1"/>
          <w:sz w:val="24"/>
          <w:szCs w:val="24"/>
          <w:shd w:val="clear" w:color="auto" w:fill="FFFFFF"/>
        </w:rPr>
        <w:t>An appeal sent via e-mail to the MOH noted above should contain an e-mail address or postal address or any other means of communication in order to answer the appeal. The use of electronic signature is not required for e-mail appeals.</w:t>
      </w:r>
    </w:p>
    <w:p w14:paraId="61B0777D" w14:textId="77777777" w:rsidR="00EB606F" w:rsidRPr="007518F8" w:rsidRDefault="00EB606F" w:rsidP="000A41D4">
      <w:pPr>
        <w:pStyle w:val="2"/>
        <w:ind w:left="-284"/>
        <w:rPr>
          <w:rFonts w:ascii="Times New Roman" w:hAnsi="Times New Roman" w:cs="Times New Roman"/>
          <w:sz w:val="24"/>
          <w:szCs w:val="24"/>
        </w:rPr>
      </w:pPr>
      <w:bookmarkStart w:id="29" w:name="_Toc65760322"/>
      <w:r w:rsidRPr="007518F8">
        <w:rPr>
          <w:rFonts w:ascii="Times New Roman" w:hAnsi="Times New Roman" w:cs="Times New Roman"/>
          <w:sz w:val="24"/>
          <w:szCs w:val="24"/>
        </w:rPr>
        <w:t>6.3.1 Confidentiality and conflict of interest</w:t>
      </w:r>
      <w:bookmarkEnd w:id="29"/>
    </w:p>
    <w:p w14:paraId="49E4E84D" w14:textId="2FB6A546"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Confidentiality will be ensured in all instances, including when the person making the complaint is known. For this reason, multiple channels to make a complaint have been established and conflicts of interest will be avoided.</w:t>
      </w:r>
      <w:r w:rsidR="00A44589">
        <w:rPr>
          <w:rFonts w:ascii="Times New Roman" w:hAnsi="Times New Roman" w:cs="Times New Roman"/>
          <w:sz w:val="24"/>
          <w:szCs w:val="24"/>
        </w:rPr>
        <w:t xml:space="preserve"> P</w:t>
      </w:r>
      <w:r w:rsidR="005C794F">
        <w:rPr>
          <w:rFonts w:ascii="Times New Roman" w:hAnsi="Times New Roman" w:cs="Times New Roman"/>
          <w:sz w:val="24"/>
          <w:szCs w:val="24"/>
        </w:rPr>
        <w:t xml:space="preserve">roject Affected People </w:t>
      </w:r>
      <w:r w:rsidR="00A44589">
        <w:rPr>
          <w:rFonts w:ascii="Times New Roman" w:hAnsi="Times New Roman" w:cs="Times New Roman"/>
          <w:sz w:val="24"/>
          <w:szCs w:val="24"/>
        </w:rPr>
        <w:t xml:space="preserve"> also have possibility to </w:t>
      </w:r>
      <w:r w:rsidR="005C794F">
        <w:rPr>
          <w:rFonts w:ascii="Times New Roman" w:hAnsi="Times New Roman" w:cs="Times New Roman"/>
          <w:sz w:val="24"/>
          <w:szCs w:val="24"/>
        </w:rPr>
        <w:t>file</w:t>
      </w:r>
      <w:r w:rsidR="00A44589">
        <w:rPr>
          <w:rFonts w:ascii="Times New Roman" w:hAnsi="Times New Roman" w:cs="Times New Roman"/>
          <w:sz w:val="24"/>
          <w:szCs w:val="24"/>
        </w:rPr>
        <w:t xml:space="preserve"> complaint anonymously.</w:t>
      </w:r>
    </w:p>
    <w:p w14:paraId="6DB0AF68" w14:textId="77777777" w:rsidR="00EB606F" w:rsidRPr="007518F8" w:rsidRDefault="00EB606F" w:rsidP="000A41D4">
      <w:pPr>
        <w:pStyle w:val="2"/>
        <w:ind w:left="-284"/>
        <w:rPr>
          <w:rFonts w:ascii="Times New Roman" w:hAnsi="Times New Roman" w:cs="Times New Roman"/>
          <w:sz w:val="24"/>
          <w:szCs w:val="24"/>
        </w:rPr>
      </w:pPr>
      <w:bookmarkStart w:id="30" w:name="_Toc65760323"/>
      <w:r w:rsidRPr="007518F8">
        <w:rPr>
          <w:rFonts w:ascii="Times New Roman" w:hAnsi="Times New Roman" w:cs="Times New Roman"/>
          <w:sz w:val="24"/>
          <w:szCs w:val="24"/>
        </w:rPr>
        <w:t>6.3.2 Receipt and recording of complaints</w:t>
      </w:r>
      <w:bookmarkEnd w:id="30"/>
      <w:r w:rsidRPr="007518F8">
        <w:rPr>
          <w:rFonts w:ascii="Times New Roman" w:hAnsi="Times New Roman" w:cs="Times New Roman"/>
          <w:sz w:val="24"/>
          <w:szCs w:val="24"/>
        </w:rPr>
        <w:t xml:space="preserve">  </w:t>
      </w:r>
    </w:p>
    <w:p w14:paraId="2E461607" w14:textId="2492E366"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person receiving the complaint will complete a grievance form (see Annex </w:t>
      </w:r>
      <w:r w:rsidR="004C47B5">
        <w:rPr>
          <w:rFonts w:ascii="Times New Roman" w:hAnsi="Times New Roman" w:cs="Times New Roman"/>
          <w:sz w:val="24"/>
          <w:szCs w:val="24"/>
        </w:rPr>
        <w:t>1</w:t>
      </w:r>
      <w:r w:rsidRPr="007518F8">
        <w:rPr>
          <w:rFonts w:ascii="Times New Roman" w:hAnsi="Times New Roman" w:cs="Times New Roman"/>
          <w:sz w:val="24"/>
          <w:szCs w:val="24"/>
        </w:rPr>
        <w:t>) and will record the complaint in the Register of Complaints, kept under GRM manager who will be dedicated in PIU as focal point. Then, the complaint is to be submitted immediately to the tracking system for sorting and redirecting to the appropriate department responsible for investigating and addressing the complaint, or to staff if the complaint is related to a specific project activity</w:t>
      </w:r>
      <w:r w:rsidRPr="007518F8">
        <w:rPr>
          <w:rFonts w:ascii="Times New Roman" w:hAnsi="Times New Roman" w:cs="Times New Roman"/>
          <w:i/>
          <w:sz w:val="24"/>
          <w:szCs w:val="24"/>
        </w:rPr>
        <w:t>.</w:t>
      </w:r>
      <w:r w:rsidRPr="007518F8">
        <w:rPr>
          <w:rFonts w:ascii="Times New Roman" w:hAnsi="Times New Roman" w:cs="Times New Roman"/>
          <w:sz w:val="24"/>
          <w:szCs w:val="24"/>
        </w:rPr>
        <w:t xml:space="preserve">  The Project Coordinator is responsible for determining who to dir</w:t>
      </w:r>
      <w:r w:rsidR="00CD5318">
        <w:rPr>
          <w:rFonts w:ascii="Times New Roman" w:hAnsi="Times New Roman" w:cs="Times New Roman"/>
          <w:sz w:val="24"/>
          <w:szCs w:val="24"/>
        </w:rPr>
        <w:t xml:space="preserve">ect the complaint to, whether a </w:t>
      </w:r>
      <w:r w:rsidRPr="007518F8">
        <w:rPr>
          <w:rFonts w:ascii="Times New Roman" w:hAnsi="Times New Roman" w:cs="Times New Roman"/>
          <w:sz w:val="24"/>
          <w:szCs w:val="24"/>
        </w:rPr>
        <w:t xml:space="preserve">complain requires an investigation (or not), and the timeframe to respond to it.  </w:t>
      </w:r>
    </w:p>
    <w:p w14:paraId="51C7DE16" w14:textId="77777777" w:rsidR="00EB606F" w:rsidRPr="007518F8" w:rsidRDefault="00EB606F" w:rsidP="000A41D4">
      <w:pPr>
        <w:pStyle w:val="Default"/>
        <w:ind w:left="-284"/>
        <w:jc w:val="both"/>
        <w:rPr>
          <w:rFonts w:ascii="Times New Roman" w:hAnsi="Times New Roman" w:cs="Times New Roman"/>
        </w:rPr>
      </w:pPr>
      <w:r w:rsidRPr="007518F8">
        <w:rPr>
          <w:rFonts w:ascii="Times New Roman" w:hAnsi="Times New Roman" w:cs="Times New Roman"/>
        </w:rPr>
        <w:t xml:space="preserve">When determining who will be the investigating officer, the Project Coordinator should ensure that there is no conflict of interest, i.e. all persons involved in the investigation process should not have any material, personal, or professional interest in the outcome and no personal or professional connection with complainants or witnesses. </w:t>
      </w:r>
    </w:p>
    <w:p w14:paraId="7B9FE022" w14:textId="77777777" w:rsidR="00EB606F" w:rsidRPr="007518F8" w:rsidRDefault="00EB606F" w:rsidP="000A41D4">
      <w:pPr>
        <w:pStyle w:val="Default"/>
        <w:ind w:left="-284"/>
        <w:jc w:val="both"/>
        <w:rPr>
          <w:rFonts w:ascii="Times New Roman" w:hAnsi="Times New Roman" w:cs="Times New Roman"/>
        </w:rPr>
      </w:pPr>
    </w:p>
    <w:p w14:paraId="3F667901" w14:textId="77777777" w:rsidR="00EB606F" w:rsidRPr="007518F8" w:rsidRDefault="00EB606F" w:rsidP="000A41D4">
      <w:pPr>
        <w:pStyle w:val="Default"/>
        <w:ind w:left="-284"/>
        <w:jc w:val="both"/>
        <w:rPr>
          <w:rFonts w:ascii="Times New Roman" w:hAnsi="Times New Roman" w:cs="Times New Roman"/>
        </w:rPr>
      </w:pPr>
      <w:r w:rsidRPr="007518F8">
        <w:rPr>
          <w:rFonts w:ascii="Times New Roman" w:hAnsi="Times New Roman" w:cs="Times New Roman"/>
        </w:rPr>
        <w:t xml:space="preserve">Once the investigation process has been established, the person responsible for managing the GRM records and enters this data into the Register of Complaints. </w:t>
      </w:r>
    </w:p>
    <w:p w14:paraId="593CF08E" w14:textId="77777777" w:rsidR="00EB606F" w:rsidRPr="007518F8" w:rsidRDefault="00EB606F" w:rsidP="000A41D4">
      <w:pPr>
        <w:pStyle w:val="Default"/>
        <w:ind w:left="-284"/>
        <w:jc w:val="both"/>
        <w:rPr>
          <w:rFonts w:ascii="Times New Roman" w:hAnsi="Times New Roman" w:cs="Times New Roman"/>
        </w:rPr>
      </w:pPr>
    </w:p>
    <w:p w14:paraId="11E56595" w14:textId="77777777" w:rsidR="00EB606F" w:rsidRPr="007518F8" w:rsidRDefault="00EB606F" w:rsidP="000A41D4">
      <w:pPr>
        <w:tabs>
          <w:tab w:val="left" w:pos="720"/>
        </w:tabs>
        <w:autoSpaceDE w:val="0"/>
        <w:autoSpaceDN w:val="0"/>
        <w:adjustRightInd w:val="0"/>
        <w:ind w:left="-284"/>
        <w:jc w:val="both"/>
        <w:rPr>
          <w:rFonts w:ascii="Times New Roman" w:hAnsi="Times New Roman" w:cs="Times New Roman"/>
          <w:sz w:val="24"/>
          <w:szCs w:val="24"/>
        </w:rPr>
      </w:pPr>
      <w:r w:rsidRPr="007518F8">
        <w:rPr>
          <w:rFonts w:ascii="Times New Roman" w:hAnsi="Times New Roman" w:cs="Times New Roman"/>
          <w:color w:val="000000"/>
          <w:sz w:val="24"/>
          <w:szCs w:val="24"/>
        </w:rPr>
        <w:t xml:space="preserve">The number and type of suggestions and questions should also be recorded and reported so that they can be analyzed to improve project communications.  </w:t>
      </w:r>
    </w:p>
    <w:p w14:paraId="714F390B" w14:textId="5984452E" w:rsidR="00EB606F" w:rsidRDefault="00EB606F" w:rsidP="000A41D4">
      <w:pPr>
        <w:pStyle w:val="2"/>
        <w:ind w:left="-284"/>
        <w:rPr>
          <w:rFonts w:ascii="Times New Roman" w:hAnsi="Times New Roman" w:cs="Times New Roman"/>
          <w:sz w:val="24"/>
          <w:szCs w:val="24"/>
        </w:rPr>
      </w:pPr>
      <w:bookmarkStart w:id="31" w:name="_Toc65760324"/>
      <w:r w:rsidRPr="007518F8">
        <w:rPr>
          <w:rFonts w:ascii="Times New Roman" w:hAnsi="Times New Roman" w:cs="Times New Roman"/>
          <w:sz w:val="24"/>
          <w:szCs w:val="24"/>
        </w:rPr>
        <w:t>6.3.3 Investigation</w:t>
      </w:r>
      <w:bookmarkEnd w:id="31"/>
    </w:p>
    <w:p w14:paraId="496FCFDA" w14:textId="77777777" w:rsidR="00CD5318" w:rsidRDefault="00CD5318" w:rsidP="000A41D4">
      <w:pPr>
        <w:ind w:left="-284"/>
        <w:jc w:val="both"/>
      </w:pPr>
    </w:p>
    <w:p w14:paraId="074C4147" w14:textId="463B3D4C" w:rsidR="00EB606F" w:rsidRPr="007518F8" w:rsidRDefault="00EB606F" w:rsidP="000A41D4">
      <w:pPr>
        <w:ind w:left="-284"/>
        <w:jc w:val="both"/>
        <w:rPr>
          <w:rFonts w:ascii="Times New Roman" w:eastAsia="Times New Roman" w:hAnsi="Times New Roman" w:cs="Times New Roman"/>
          <w:sz w:val="24"/>
          <w:szCs w:val="24"/>
        </w:rPr>
      </w:pPr>
      <w:r w:rsidRPr="007518F8">
        <w:rPr>
          <w:rFonts w:ascii="Times New Roman" w:eastAsia="Times New Roman" w:hAnsi="Times New Roman" w:cs="Times New Roman"/>
          <w:color w:val="000000"/>
          <w:sz w:val="24"/>
          <w:szCs w:val="24"/>
          <w:shd w:val="clear" w:color="auto" w:fill="FFFFFF"/>
        </w:rPr>
        <w:t xml:space="preserve">Under Article 20 of </w:t>
      </w:r>
      <w:r w:rsidRPr="007518F8">
        <w:rPr>
          <w:rFonts w:ascii="Times New Roman" w:eastAsia="Times New Roman" w:hAnsi="Times New Roman" w:cs="Times New Roman"/>
          <w:i/>
          <w:color w:val="000000"/>
          <w:sz w:val="24"/>
          <w:szCs w:val="24"/>
          <w:shd w:val="clear" w:color="auto" w:fill="FFFFFF"/>
        </w:rPr>
        <w:t>the Law of Ukraine on Citizens’ Appeals,</w:t>
      </w:r>
      <w:r w:rsidRPr="007518F8">
        <w:rPr>
          <w:rFonts w:ascii="Times New Roman" w:eastAsia="Times New Roman" w:hAnsi="Times New Roman" w:cs="Times New Roman"/>
          <w:color w:val="000000"/>
          <w:sz w:val="24"/>
          <w:szCs w:val="24"/>
          <w:shd w:val="clear" w:color="auto" w:fill="FFFFFF"/>
        </w:rPr>
        <w:t xml:space="preserve"> appeals are considered and resolved no later than one month from the date of its receipt, and immediately to those that do not require additional study, but not later than 15 days from the date of its receipt. If issues raised in the appeal cannot be resolved within one month, the head of the body, enterprise, institution, organization, or his deputy define necessary time for its consideration, and report about it to the person who filed the appeal. At the same time the entire term for resolving issues raised in the appeal may not exceed forty-five days.</w:t>
      </w:r>
    </w:p>
    <w:p w14:paraId="1370F206" w14:textId="77777777"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To process the grievance, the person responsible for investigating the complaint will gather facts in order to generate a clear understanding of the circumstances surrounding the grievance. The investigation/follow-up can include site visits, review of documents and a meeting with those who could resolve the issue. </w:t>
      </w:r>
    </w:p>
    <w:p w14:paraId="6F01909E" w14:textId="25C68A3B"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results of investigation and the proposed response to the complainant will be presented for consideration to the Project Coordinator, who will decide on the course of action.  Once a decision has been made and on the complainant informed, the investigating specialist describes the actions to be taken in the grievance form (see Annex </w:t>
      </w:r>
      <w:r w:rsidR="004C47B5">
        <w:rPr>
          <w:rFonts w:ascii="Times New Roman" w:hAnsi="Times New Roman" w:cs="Times New Roman"/>
          <w:sz w:val="24"/>
          <w:szCs w:val="24"/>
        </w:rPr>
        <w:t>1</w:t>
      </w:r>
      <w:r w:rsidRPr="007518F8">
        <w:rPr>
          <w:rFonts w:ascii="Times New Roman" w:hAnsi="Times New Roman" w:cs="Times New Roman"/>
          <w:sz w:val="24"/>
          <w:szCs w:val="24"/>
        </w:rPr>
        <w:t xml:space="preserve">), along with the details of the investigation and the findings, and submits the response to the Executive Director for signing.  </w:t>
      </w:r>
    </w:p>
    <w:p w14:paraId="2A15DF55" w14:textId="77777777" w:rsidR="00EB606F" w:rsidRPr="007518F8" w:rsidRDefault="00EB606F" w:rsidP="000A41D4">
      <w:pPr>
        <w:pStyle w:val="2"/>
        <w:ind w:left="-284"/>
        <w:rPr>
          <w:rFonts w:ascii="Times New Roman" w:hAnsi="Times New Roman" w:cs="Times New Roman"/>
          <w:sz w:val="24"/>
          <w:szCs w:val="24"/>
        </w:rPr>
      </w:pPr>
      <w:bookmarkStart w:id="32" w:name="_Toc65760325"/>
      <w:r w:rsidRPr="007518F8">
        <w:rPr>
          <w:rFonts w:ascii="Times New Roman" w:hAnsi="Times New Roman" w:cs="Times New Roman"/>
          <w:sz w:val="24"/>
          <w:szCs w:val="24"/>
        </w:rPr>
        <w:t>6.3.4 Response to complainant</w:t>
      </w:r>
      <w:bookmarkEnd w:id="32"/>
    </w:p>
    <w:p w14:paraId="242582F1" w14:textId="77777777" w:rsidR="00EB606F" w:rsidRPr="007518F8" w:rsidRDefault="00EB606F" w:rsidP="000A41D4">
      <w:pPr>
        <w:ind w:left="-284"/>
        <w:jc w:val="both"/>
        <w:rPr>
          <w:rFonts w:ascii="Times New Roman" w:hAnsi="Times New Roman" w:cs="Times New Roman"/>
          <w:sz w:val="24"/>
          <w:szCs w:val="24"/>
        </w:rPr>
      </w:pPr>
    </w:p>
    <w:p w14:paraId="4E1D20D5" w14:textId="77777777"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complainant will be informed about the results of verification via letter or email, as received. The response shall be based on the materials of the investigation and, if appropriate, shall contain references to the national legislation. </w:t>
      </w:r>
    </w:p>
    <w:p w14:paraId="4E815795" w14:textId="77777777"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The deadline for investigating the complaint may be extended by 30 working days by the Project Coordinator, and the complainant is to be informed about this fact, whether:  </w:t>
      </w:r>
    </w:p>
    <w:p w14:paraId="5309BE8D" w14:textId="77777777" w:rsidR="00EB606F" w:rsidRPr="007518F8" w:rsidRDefault="00EB606F" w:rsidP="00EF1D2F">
      <w:pPr>
        <w:pStyle w:val="a4"/>
        <w:numPr>
          <w:ilvl w:val="0"/>
          <w:numId w:val="5"/>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additional consultations are needed to provide response to the complaint;</w:t>
      </w:r>
    </w:p>
    <w:p w14:paraId="37E015BE" w14:textId="77777777" w:rsidR="00EB606F" w:rsidRPr="007518F8" w:rsidRDefault="00EB606F" w:rsidP="00EF1D2F">
      <w:pPr>
        <w:pStyle w:val="a4"/>
        <w:numPr>
          <w:ilvl w:val="0"/>
          <w:numId w:val="5"/>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the complaint refers to a complex volume of information and it is necessary to study additional materials for the response. </w:t>
      </w:r>
    </w:p>
    <w:p w14:paraId="2AAEF0CB" w14:textId="77777777" w:rsidR="00EB606F" w:rsidRPr="007518F8" w:rsidRDefault="00EB606F" w:rsidP="000A41D4">
      <w:pPr>
        <w:pStyle w:val="1"/>
        <w:ind w:left="-284"/>
        <w:rPr>
          <w:rFonts w:cs="Times New Roman"/>
          <w:szCs w:val="24"/>
        </w:rPr>
      </w:pPr>
      <w:bookmarkStart w:id="33" w:name="_Toc41402623"/>
      <w:bookmarkStart w:id="34" w:name="_Toc65760326"/>
      <w:r w:rsidRPr="007518F8">
        <w:rPr>
          <w:rFonts w:cs="Times New Roman"/>
          <w:szCs w:val="24"/>
        </w:rPr>
        <w:t>6.4 Awareness Building</w:t>
      </w:r>
      <w:bookmarkEnd w:id="33"/>
      <w:bookmarkEnd w:id="34"/>
      <w:r w:rsidRPr="007518F8">
        <w:rPr>
          <w:rFonts w:cs="Times New Roman"/>
          <w:szCs w:val="24"/>
        </w:rPr>
        <w:t xml:space="preserve"> </w:t>
      </w:r>
    </w:p>
    <w:p w14:paraId="14585C43" w14:textId="77777777" w:rsidR="00EB606F" w:rsidRPr="007518F8" w:rsidRDefault="00EB606F" w:rsidP="000A41D4">
      <w:pPr>
        <w:ind w:left="-284"/>
        <w:jc w:val="both"/>
        <w:rPr>
          <w:rFonts w:ascii="Times New Roman" w:hAnsi="Times New Roman" w:cs="Times New Roman"/>
          <w:b/>
          <w:i/>
          <w:sz w:val="24"/>
          <w:szCs w:val="24"/>
        </w:rPr>
      </w:pPr>
    </w:p>
    <w:p w14:paraId="1CD838E1" w14:textId="77777777" w:rsidR="00EB606F" w:rsidRPr="007518F8" w:rsidRDefault="00EB606F" w:rsidP="000A41D4">
      <w:pPr>
        <w:ind w:left="-284"/>
        <w:jc w:val="both"/>
        <w:rPr>
          <w:rFonts w:ascii="Times New Roman" w:hAnsi="Times New Roman" w:cs="Times New Roman"/>
          <w:b/>
          <w:i/>
          <w:sz w:val="24"/>
          <w:szCs w:val="24"/>
        </w:rPr>
      </w:pPr>
      <w:r w:rsidRPr="007518F8">
        <w:rPr>
          <w:rFonts w:ascii="Times New Roman" w:hAnsi="Times New Roman" w:cs="Times New Roman"/>
          <w:b/>
          <w:i/>
          <w:sz w:val="24"/>
          <w:szCs w:val="24"/>
        </w:rPr>
        <w:t>Information provided in an accessible format</w:t>
      </w:r>
    </w:p>
    <w:p w14:paraId="2E0ACE9B" w14:textId="0CEF3983"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 xml:space="preserve">Information about the GRM will be available at the https://moz.gov.ua/ website </w:t>
      </w:r>
      <w:r w:rsidR="005C794F">
        <w:rPr>
          <w:rFonts w:ascii="Times New Roman" w:hAnsi="Times New Roman" w:cs="Times New Roman"/>
          <w:sz w:val="24"/>
          <w:szCs w:val="24"/>
        </w:rPr>
        <w:t>and</w:t>
      </w:r>
      <w:r w:rsidRPr="007518F8">
        <w:rPr>
          <w:rFonts w:ascii="Times New Roman" w:hAnsi="Times New Roman" w:cs="Times New Roman"/>
          <w:sz w:val="24"/>
          <w:szCs w:val="24"/>
        </w:rPr>
        <w:t xml:space="preserve"> be included in communications with stakeholders</w:t>
      </w:r>
      <w:r w:rsidR="005C794F">
        <w:rPr>
          <w:rFonts w:ascii="Times New Roman" w:hAnsi="Times New Roman" w:cs="Times New Roman"/>
          <w:sz w:val="24"/>
          <w:szCs w:val="24"/>
        </w:rPr>
        <w:t xml:space="preserve">, respective information on available GRM </w:t>
      </w:r>
      <w:r w:rsidR="003C58CE">
        <w:rPr>
          <w:rFonts w:ascii="Times New Roman" w:hAnsi="Times New Roman" w:cs="Times New Roman"/>
          <w:sz w:val="24"/>
          <w:szCs w:val="24"/>
        </w:rPr>
        <w:t xml:space="preserve">intake </w:t>
      </w:r>
      <w:r w:rsidR="005C794F">
        <w:rPr>
          <w:rFonts w:ascii="Times New Roman" w:hAnsi="Times New Roman" w:cs="Times New Roman"/>
          <w:sz w:val="24"/>
          <w:szCs w:val="24"/>
        </w:rPr>
        <w:t>channels will be available at the project activities</w:t>
      </w:r>
      <w:r w:rsidR="003C58CE" w:rsidRPr="003C58CE">
        <w:rPr>
          <w:rFonts w:ascii="Times New Roman" w:hAnsi="Times New Roman" w:cs="Times New Roman"/>
          <w:sz w:val="24"/>
          <w:szCs w:val="24"/>
        </w:rPr>
        <w:t xml:space="preserve"> </w:t>
      </w:r>
      <w:r w:rsidR="003C58CE">
        <w:rPr>
          <w:rFonts w:ascii="Times New Roman" w:hAnsi="Times New Roman" w:cs="Times New Roman"/>
          <w:sz w:val="24"/>
          <w:szCs w:val="24"/>
        </w:rPr>
        <w:t>sites</w:t>
      </w:r>
      <w:r w:rsidRPr="007518F8">
        <w:rPr>
          <w:rFonts w:ascii="Times New Roman" w:hAnsi="Times New Roman" w:cs="Times New Roman"/>
          <w:sz w:val="24"/>
          <w:szCs w:val="24"/>
        </w:rPr>
        <w:t xml:space="preserve">. </w:t>
      </w:r>
    </w:p>
    <w:p w14:paraId="6FA4D2FE" w14:textId="77777777" w:rsidR="00EB606F" w:rsidRPr="007518F8" w:rsidRDefault="00EB606F" w:rsidP="000A41D4">
      <w:pPr>
        <w:pStyle w:val="1"/>
        <w:ind w:left="-284"/>
        <w:rPr>
          <w:rFonts w:cs="Times New Roman"/>
          <w:szCs w:val="24"/>
        </w:rPr>
      </w:pPr>
      <w:bookmarkStart w:id="35" w:name="_Toc41402624"/>
      <w:bookmarkStart w:id="36" w:name="_Toc65760327"/>
      <w:r w:rsidRPr="007518F8">
        <w:rPr>
          <w:rFonts w:cs="Times New Roman"/>
          <w:szCs w:val="24"/>
        </w:rPr>
        <w:t>6.5 Staffing and Capacity Building</w:t>
      </w:r>
      <w:bookmarkEnd w:id="35"/>
      <w:bookmarkEnd w:id="36"/>
      <w:r w:rsidRPr="007518F8">
        <w:rPr>
          <w:rFonts w:cs="Times New Roman"/>
          <w:szCs w:val="24"/>
        </w:rPr>
        <w:t xml:space="preserve">  </w:t>
      </w:r>
    </w:p>
    <w:p w14:paraId="213F4D71" w14:textId="77777777" w:rsidR="00EB606F" w:rsidRPr="007518F8" w:rsidRDefault="00EB606F" w:rsidP="000A41D4">
      <w:pPr>
        <w:ind w:left="-284"/>
        <w:jc w:val="both"/>
        <w:rPr>
          <w:rFonts w:ascii="Times New Roman" w:hAnsi="Times New Roman" w:cs="Times New Roman"/>
          <w:b/>
          <w:i/>
          <w:sz w:val="24"/>
          <w:szCs w:val="24"/>
          <w:lang w:val="uk-UA"/>
        </w:rPr>
      </w:pPr>
    </w:p>
    <w:p w14:paraId="148AA293" w14:textId="77777777" w:rsidR="00EB606F" w:rsidRPr="007518F8" w:rsidRDefault="00EB606F" w:rsidP="000A41D4">
      <w:pPr>
        <w:ind w:left="-284"/>
        <w:jc w:val="both"/>
        <w:rPr>
          <w:rFonts w:ascii="Times New Roman" w:hAnsi="Times New Roman" w:cs="Times New Roman"/>
          <w:b/>
          <w:i/>
          <w:sz w:val="24"/>
          <w:szCs w:val="24"/>
        </w:rPr>
      </w:pPr>
      <w:r w:rsidRPr="007518F8">
        <w:rPr>
          <w:rFonts w:ascii="Times New Roman" w:hAnsi="Times New Roman" w:cs="Times New Roman"/>
          <w:b/>
          <w:i/>
          <w:sz w:val="24"/>
          <w:szCs w:val="24"/>
        </w:rPr>
        <w:t xml:space="preserve">Tasks and responsibilities of the PIU team on the GRM </w:t>
      </w:r>
    </w:p>
    <w:p w14:paraId="258B8F8F" w14:textId="28E9F5A9"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The Project Coordinator will allocate responsibilities to the PIU staff</w:t>
      </w:r>
      <w:r w:rsidR="00BA164F" w:rsidRPr="007518F8">
        <w:rPr>
          <w:rFonts w:ascii="Times New Roman" w:hAnsi="Times New Roman" w:cs="Times New Roman"/>
          <w:sz w:val="24"/>
          <w:szCs w:val="24"/>
        </w:rPr>
        <w:t xml:space="preserve"> – Grievances Focal points (GPF)</w:t>
      </w:r>
      <w:r w:rsidRPr="007518F8">
        <w:rPr>
          <w:rFonts w:ascii="Times New Roman" w:hAnsi="Times New Roman" w:cs="Times New Roman"/>
          <w:sz w:val="24"/>
          <w:szCs w:val="24"/>
        </w:rPr>
        <w:t>.  These will be documented in the Project Operations Manual, and kept updated.</w:t>
      </w:r>
    </w:p>
    <w:p w14:paraId="760F3697"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Overall management of the GRM system</w:t>
      </w:r>
    </w:p>
    <w:p w14:paraId="40AE304C"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Developing and maintaining awareness-building</w:t>
      </w:r>
    </w:p>
    <w:p w14:paraId="757FADBF"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Collection of complaints</w:t>
      </w:r>
    </w:p>
    <w:p w14:paraId="3E3965EF"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Recording complaints</w:t>
      </w:r>
    </w:p>
    <w:p w14:paraId="3B084AE1"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Notification to the complainant on the receipt and timeline to review a complaint </w:t>
      </w:r>
    </w:p>
    <w:p w14:paraId="482D7766"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Sorting/categorization of complaints</w:t>
      </w:r>
    </w:p>
    <w:p w14:paraId="134A5FD8"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Thorough examination of the issues, including the causal link between project activities and alleged damage/harm/nuisance</w:t>
      </w:r>
    </w:p>
    <w:p w14:paraId="274BA881"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Decision-making based on such examination </w:t>
      </w:r>
    </w:p>
    <w:p w14:paraId="1C8C17D6"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Processing appeals or continuous communication with complainants with the purpose to resolve issues amicably</w:t>
      </w:r>
    </w:p>
    <w:p w14:paraId="457B1E58"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Organization and implementation of information materials and awareness campaigns</w:t>
      </w:r>
    </w:p>
    <w:p w14:paraId="1F47F940" w14:textId="77777777" w:rsidR="00EB606F" w:rsidRPr="007518F8" w:rsidRDefault="00EB606F" w:rsidP="00EF1D2F">
      <w:pPr>
        <w:pStyle w:val="a4"/>
        <w:numPr>
          <w:ilvl w:val="0"/>
          <w:numId w:val="3"/>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Reporting and feedback on GRM results.</w:t>
      </w:r>
    </w:p>
    <w:p w14:paraId="2731D994" w14:textId="77777777" w:rsidR="00EB606F" w:rsidRPr="007518F8" w:rsidRDefault="00EB606F" w:rsidP="000A41D4">
      <w:pPr>
        <w:pStyle w:val="a4"/>
        <w:ind w:left="-284"/>
        <w:jc w:val="both"/>
        <w:rPr>
          <w:rFonts w:ascii="Times New Roman" w:hAnsi="Times New Roman" w:cs="Times New Roman"/>
          <w:sz w:val="24"/>
          <w:szCs w:val="24"/>
        </w:rPr>
      </w:pPr>
    </w:p>
    <w:p w14:paraId="3E74C7A0" w14:textId="77777777" w:rsidR="00EB606F" w:rsidRPr="007518F8" w:rsidRDefault="00EB606F" w:rsidP="000A41D4">
      <w:pPr>
        <w:pStyle w:val="1"/>
        <w:ind w:left="-284"/>
        <w:rPr>
          <w:rFonts w:cs="Times New Roman"/>
          <w:szCs w:val="24"/>
        </w:rPr>
      </w:pPr>
      <w:bookmarkStart w:id="37" w:name="_Toc41402625"/>
      <w:bookmarkStart w:id="38" w:name="_Toc65760328"/>
      <w:r w:rsidRPr="007518F8">
        <w:rPr>
          <w:rFonts w:cs="Times New Roman"/>
          <w:szCs w:val="24"/>
        </w:rPr>
        <w:t>6.6 Transparency, Monitoring and Reporting</w:t>
      </w:r>
      <w:bookmarkEnd w:id="37"/>
      <w:bookmarkEnd w:id="38"/>
    </w:p>
    <w:p w14:paraId="4F83A60F" w14:textId="77777777" w:rsidR="00BA164F" w:rsidRPr="007518F8" w:rsidRDefault="00BA164F" w:rsidP="000A41D4">
      <w:pPr>
        <w:ind w:left="-284"/>
        <w:jc w:val="both"/>
        <w:rPr>
          <w:rFonts w:ascii="Times New Roman" w:hAnsi="Times New Roman" w:cs="Times New Roman"/>
          <w:sz w:val="24"/>
          <w:szCs w:val="24"/>
          <w:lang w:val="uk-UA"/>
        </w:rPr>
      </w:pPr>
    </w:p>
    <w:p w14:paraId="11F7D95A" w14:textId="77777777" w:rsidR="00BA164F" w:rsidRPr="007518F8" w:rsidRDefault="00BA164F" w:rsidP="000A41D4">
      <w:pPr>
        <w:pStyle w:val="2"/>
        <w:ind w:left="-284"/>
        <w:rPr>
          <w:rFonts w:ascii="Times New Roman" w:hAnsi="Times New Roman" w:cs="Times New Roman"/>
          <w:sz w:val="24"/>
          <w:szCs w:val="24"/>
          <w:lang w:val="uk-UA"/>
        </w:rPr>
      </w:pPr>
      <w:bookmarkStart w:id="39" w:name="_Toc65760329"/>
      <w:r w:rsidRPr="007518F8">
        <w:rPr>
          <w:rFonts w:ascii="Times New Roman" w:hAnsi="Times New Roman" w:cs="Times New Roman"/>
          <w:sz w:val="24"/>
          <w:szCs w:val="24"/>
          <w:lang w:val="uk-UA"/>
        </w:rPr>
        <w:t>6.6.1  Grievance Logs</w:t>
      </w:r>
      <w:bookmarkEnd w:id="39"/>
      <w:r w:rsidRPr="007518F8">
        <w:rPr>
          <w:rFonts w:ascii="Times New Roman" w:hAnsi="Times New Roman" w:cs="Times New Roman"/>
          <w:sz w:val="24"/>
          <w:szCs w:val="24"/>
          <w:lang w:val="uk-UA"/>
        </w:rPr>
        <w:t xml:space="preserve">  </w:t>
      </w:r>
    </w:p>
    <w:p w14:paraId="32820FBD" w14:textId="77777777" w:rsidR="00BA164F" w:rsidRPr="007518F8" w:rsidRDefault="00BA164F" w:rsidP="000A41D4">
      <w:pPr>
        <w:ind w:left="-284"/>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The Grievance Focal Points  will maintain local grievance logs to ensure that each complaint has an individual reference number and is appropriately tracked, and recorded actions are completed. When receiving feedback, including grievances, the following is defined:  </w:t>
      </w:r>
    </w:p>
    <w:p w14:paraId="72FECC7B" w14:textId="77777777" w:rsidR="00BA164F" w:rsidRPr="007518F8" w:rsidRDefault="00BA164F" w:rsidP="000A41D4">
      <w:pPr>
        <w:ind w:left="-284"/>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Type of appeal;   </w:t>
      </w:r>
    </w:p>
    <w:p w14:paraId="38FFCA94" w14:textId="77777777" w:rsidR="00BA164F" w:rsidRPr="007518F8" w:rsidRDefault="00BA164F" w:rsidP="000A41D4">
      <w:pPr>
        <w:ind w:left="-284"/>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Category of appeal;   </w:t>
      </w:r>
    </w:p>
    <w:p w14:paraId="758F3721" w14:textId="77777777" w:rsidR="00BA164F" w:rsidRPr="007518F8" w:rsidRDefault="00BA164F" w:rsidP="000A41D4">
      <w:pPr>
        <w:ind w:left="-284"/>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People responsible for the study and resolution of the grievance;   </w:t>
      </w:r>
    </w:p>
    <w:p w14:paraId="2AB7F7F6" w14:textId="77777777" w:rsidR="00BA164F" w:rsidRPr="007518F8" w:rsidRDefault="00BA164F" w:rsidP="000A41D4">
      <w:pPr>
        <w:ind w:left="-284"/>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 Deadline of resolving the complaint; and  - Agreed action plan     </w:t>
      </w:r>
    </w:p>
    <w:p w14:paraId="0DF47B4D" w14:textId="77777777" w:rsidR="00BA164F" w:rsidRPr="007518F8" w:rsidRDefault="00BA164F" w:rsidP="000A41D4">
      <w:pPr>
        <w:ind w:left="-284"/>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The GFPs will ensure that each complaint has an individual reference number and is appropriately tracked, and recorded actions are completed. The log should contain the following information:   </w:t>
      </w:r>
    </w:p>
    <w:p w14:paraId="2878CD62" w14:textId="09CCA075" w:rsidR="00BA164F" w:rsidRPr="007518F8" w:rsidRDefault="00BA164F" w:rsidP="00EF1D2F">
      <w:pPr>
        <w:pStyle w:val="a4"/>
        <w:numPr>
          <w:ilvl w:val="0"/>
          <w:numId w:val="3"/>
        </w:numPr>
        <w:ind w:left="-284" w:firstLine="0"/>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Name of the PAP, his/her location and details of his / her complaint;   </w:t>
      </w:r>
    </w:p>
    <w:p w14:paraId="512F56AF" w14:textId="51A032E0" w:rsidR="00BA164F" w:rsidRPr="007518F8" w:rsidRDefault="00BA164F" w:rsidP="00EF1D2F">
      <w:pPr>
        <w:pStyle w:val="a4"/>
        <w:numPr>
          <w:ilvl w:val="0"/>
          <w:numId w:val="3"/>
        </w:numPr>
        <w:ind w:left="-284" w:firstLine="0"/>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Date of reporting by the complaint;  </w:t>
      </w:r>
    </w:p>
    <w:p w14:paraId="3388D269" w14:textId="2E38BC65" w:rsidR="00BA164F" w:rsidRPr="007518F8" w:rsidRDefault="00BA164F" w:rsidP="00EF1D2F">
      <w:pPr>
        <w:pStyle w:val="a4"/>
        <w:numPr>
          <w:ilvl w:val="0"/>
          <w:numId w:val="3"/>
        </w:numPr>
        <w:ind w:left="-284" w:firstLine="0"/>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Date when the Grievance Log was uploaded onto the project database;   </w:t>
      </w:r>
    </w:p>
    <w:p w14:paraId="4869953C" w14:textId="77777777" w:rsidR="00BA164F" w:rsidRPr="007518F8" w:rsidRDefault="00BA164F" w:rsidP="00EF1D2F">
      <w:pPr>
        <w:pStyle w:val="a4"/>
        <w:numPr>
          <w:ilvl w:val="0"/>
          <w:numId w:val="3"/>
        </w:numPr>
        <w:ind w:left="-284" w:firstLine="0"/>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Details of corrective action proposed, name of the approval authority;   </w:t>
      </w:r>
    </w:p>
    <w:p w14:paraId="15EA5BA9" w14:textId="77777777" w:rsidR="00BA164F" w:rsidRPr="007518F8" w:rsidRDefault="00BA164F" w:rsidP="00EF1D2F">
      <w:pPr>
        <w:pStyle w:val="a4"/>
        <w:numPr>
          <w:ilvl w:val="0"/>
          <w:numId w:val="3"/>
        </w:numPr>
        <w:ind w:left="-284" w:firstLine="0"/>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Date when the proposed corrective action was sent to the complainant (if appropriate);  </w:t>
      </w:r>
    </w:p>
    <w:p w14:paraId="7BA3B0E3" w14:textId="77777777" w:rsidR="00BA164F" w:rsidRPr="007518F8" w:rsidRDefault="00BA164F" w:rsidP="00EF1D2F">
      <w:pPr>
        <w:pStyle w:val="a4"/>
        <w:numPr>
          <w:ilvl w:val="0"/>
          <w:numId w:val="3"/>
        </w:numPr>
        <w:ind w:left="-284" w:firstLine="0"/>
        <w:jc w:val="both"/>
        <w:rPr>
          <w:rFonts w:ascii="Times New Roman" w:hAnsi="Times New Roman" w:cs="Times New Roman"/>
          <w:sz w:val="24"/>
          <w:szCs w:val="24"/>
          <w:lang w:val="uk-UA"/>
        </w:rPr>
      </w:pPr>
      <w:r w:rsidRPr="007518F8">
        <w:rPr>
          <w:rFonts w:ascii="Times New Roman" w:hAnsi="Times New Roman" w:cs="Times New Roman"/>
          <w:sz w:val="24"/>
          <w:szCs w:val="24"/>
          <w:lang w:val="uk-UA"/>
        </w:rPr>
        <w:t xml:space="preserve">Details of the Grievance Committee meeting (if appropriate);    </w:t>
      </w:r>
    </w:p>
    <w:p w14:paraId="28156030" w14:textId="0AB3FCA2" w:rsidR="00EB606F" w:rsidRPr="007518F8" w:rsidRDefault="00BA164F" w:rsidP="00EF1D2F">
      <w:pPr>
        <w:pStyle w:val="a4"/>
        <w:numPr>
          <w:ilvl w:val="0"/>
          <w:numId w:val="3"/>
        </w:numPr>
        <w:ind w:left="-284" w:firstLine="0"/>
        <w:jc w:val="both"/>
        <w:rPr>
          <w:rFonts w:ascii="Times New Roman" w:hAnsi="Times New Roman" w:cs="Times New Roman"/>
          <w:b/>
          <w:sz w:val="24"/>
          <w:szCs w:val="24"/>
        </w:rPr>
      </w:pPr>
      <w:r w:rsidRPr="007518F8">
        <w:rPr>
          <w:rFonts w:ascii="Times New Roman" w:hAnsi="Times New Roman" w:cs="Times New Roman"/>
          <w:sz w:val="24"/>
          <w:szCs w:val="24"/>
          <w:lang w:val="uk-UA"/>
        </w:rPr>
        <w:t xml:space="preserve">Date when the complaint was closed out; and    Date when the response was sent to the complainant.   </w:t>
      </w:r>
    </w:p>
    <w:p w14:paraId="5717E9DA" w14:textId="77777777" w:rsidR="00EB606F" w:rsidRPr="007518F8" w:rsidRDefault="000762F8" w:rsidP="000A41D4">
      <w:pPr>
        <w:pStyle w:val="2"/>
        <w:ind w:left="-284"/>
        <w:rPr>
          <w:rFonts w:ascii="Times New Roman" w:hAnsi="Times New Roman" w:cs="Times New Roman"/>
          <w:sz w:val="24"/>
          <w:szCs w:val="24"/>
        </w:rPr>
      </w:pPr>
      <w:bookmarkStart w:id="40" w:name="_Toc65760330"/>
      <w:r w:rsidRPr="007518F8">
        <w:rPr>
          <w:rFonts w:ascii="Times New Roman" w:hAnsi="Times New Roman" w:cs="Times New Roman"/>
          <w:sz w:val="24"/>
          <w:szCs w:val="24"/>
        </w:rPr>
        <w:t>6</w:t>
      </w:r>
      <w:r w:rsidR="00EB606F" w:rsidRPr="007518F8">
        <w:rPr>
          <w:rFonts w:ascii="Times New Roman" w:hAnsi="Times New Roman" w:cs="Times New Roman"/>
          <w:sz w:val="24"/>
          <w:szCs w:val="24"/>
        </w:rPr>
        <w:t>.6.2 Regular internal monitoring and reporting</w:t>
      </w:r>
      <w:bookmarkEnd w:id="40"/>
    </w:p>
    <w:p w14:paraId="4B7336EC" w14:textId="7F1C5656" w:rsidR="00EB606F" w:rsidRPr="007518F8" w:rsidRDefault="00EB606F" w:rsidP="000A41D4">
      <w:pPr>
        <w:pStyle w:val="Default"/>
        <w:shd w:val="clear" w:color="auto" w:fill="FFFFFF" w:themeFill="background1"/>
        <w:ind w:left="-284"/>
        <w:jc w:val="both"/>
        <w:rPr>
          <w:rFonts w:ascii="Times New Roman" w:hAnsi="Times New Roman" w:cs="Times New Roman"/>
          <w:color w:val="auto"/>
        </w:rPr>
      </w:pPr>
      <w:r w:rsidRPr="007518F8">
        <w:rPr>
          <w:rFonts w:ascii="Times New Roman" w:hAnsi="Times New Roman" w:cs="Times New Roman"/>
          <w:color w:val="auto"/>
        </w:rPr>
        <w:t xml:space="preserve">The </w:t>
      </w:r>
      <w:r w:rsidR="003C58CE">
        <w:rPr>
          <w:rFonts w:ascii="Times New Roman" w:hAnsi="Times New Roman" w:cs="Times New Roman"/>
          <w:color w:val="auto"/>
        </w:rPr>
        <w:t>Head of PIU</w:t>
      </w:r>
      <w:r w:rsidRPr="007518F8">
        <w:rPr>
          <w:rFonts w:ascii="Times New Roman" w:hAnsi="Times New Roman" w:cs="Times New Roman"/>
          <w:color w:val="auto"/>
        </w:rPr>
        <w:t xml:space="preserve">  will </w:t>
      </w:r>
      <w:r w:rsidR="003C58CE">
        <w:rPr>
          <w:rFonts w:ascii="Times New Roman" w:hAnsi="Times New Roman" w:cs="Times New Roman"/>
          <w:color w:val="auto"/>
        </w:rPr>
        <w:t>review</w:t>
      </w:r>
      <w:r w:rsidR="003C58CE" w:rsidRPr="007518F8">
        <w:rPr>
          <w:rFonts w:ascii="Times New Roman" w:hAnsi="Times New Roman" w:cs="Times New Roman"/>
          <w:color w:val="auto"/>
        </w:rPr>
        <w:t xml:space="preserve"> </w:t>
      </w:r>
      <w:r w:rsidRPr="007518F8">
        <w:rPr>
          <w:rFonts w:ascii="Times New Roman" w:hAnsi="Times New Roman" w:cs="Times New Roman"/>
          <w:color w:val="auto"/>
        </w:rPr>
        <w:t>quarterly the functioning of the GRM in order to:</w:t>
      </w:r>
    </w:p>
    <w:p w14:paraId="1E0ED6B3" w14:textId="77777777" w:rsidR="00EB606F" w:rsidRPr="007518F8" w:rsidRDefault="00EB606F" w:rsidP="00EF1D2F">
      <w:pPr>
        <w:pStyle w:val="Default"/>
        <w:numPr>
          <w:ilvl w:val="0"/>
          <w:numId w:val="6"/>
        </w:numPr>
        <w:shd w:val="clear" w:color="auto" w:fill="FFFFFF" w:themeFill="background1"/>
        <w:ind w:left="-284" w:firstLine="0"/>
        <w:jc w:val="both"/>
        <w:rPr>
          <w:rFonts w:ascii="Times New Roman" w:hAnsi="Times New Roman" w:cs="Times New Roman"/>
          <w:color w:val="auto"/>
        </w:rPr>
      </w:pPr>
      <w:r w:rsidRPr="007518F8">
        <w:rPr>
          <w:rFonts w:ascii="Times New Roman" w:hAnsi="Times New Roman" w:cs="Times New Roman"/>
          <w:color w:val="auto"/>
        </w:rPr>
        <w:t>Provide a monthly/quarterly snapshot of GRM results, including any suggestions and questions, to the project team and the management.</w:t>
      </w:r>
    </w:p>
    <w:p w14:paraId="3A4F5823" w14:textId="048FDD03" w:rsidR="00EB606F" w:rsidRPr="007518F8" w:rsidRDefault="00EB606F" w:rsidP="00EF1D2F">
      <w:pPr>
        <w:pStyle w:val="Default"/>
        <w:numPr>
          <w:ilvl w:val="0"/>
          <w:numId w:val="6"/>
        </w:numPr>
        <w:shd w:val="clear" w:color="auto" w:fill="FFFFFF" w:themeFill="background1"/>
        <w:ind w:left="-284" w:firstLine="0"/>
        <w:jc w:val="both"/>
        <w:rPr>
          <w:rFonts w:ascii="Times New Roman" w:hAnsi="Times New Roman" w:cs="Times New Roman"/>
          <w:color w:val="auto"/>
        </w:rPr>
      </w:pPr>
      <w:r w:rsidRPr="007518F8">
        <w:rPr>
          <w:rFonts w:ascii="Times New Roman" w:hAnsi="Times New Roman" w:cs="Times New Roman"/>
          <w:color w:val="auto"/>
        </w:rPr>
        <w:t xml:space="preserve">Review the status of </w:t>
      </w:r>
      <w:r w:rsidR="003C58CE">
        <w:rPr>
          <w:rFonts w:ascii="Times New Roman" w:hAnsi="Times New Roman" w:cs="Times New Roman"/>
          <w:color w:val="auto"/>
        </w:rPr>
        <w:t xml:space="preserve">all submitted </w:t>
      </w:r>
      <w:r w:rsidRPr="007518F8">
        <w:rPr>
          <w:rFonts w:ascii="Times New Roman" w:hAnsi="Times New Roman" w:cs="Times New Roman"/>
          <w:color w:val="auto"/>
        </w:rPr>
        <w:t xml:space="preserve">complaints </w:t>
      </w:r>
      <w:r w:rsidR="003C58CE">
        <w:rPr>
          <w:rFonts w:ascii="Times New Roman" w:hAnsi="Times New Roman" w:cs="Times New Roman"/>
          <w:color w:val="auto"/>
        </w:rPr>
        <w:t xml:space="preserve">including anonymous </w:t>
      </w:r>
      <w:r w:rsidRPr="007518F8">
        <w:rPr>
          <w:rFonts w:ascii="Times New Roman" w:hAnsi="Times New Roman" w:cs="Times New Roman"/>
          <w:color w:val="auto"/>
        </w:rPr>
        <w:t>to track which are not yet resolved and suggest any needed remedial action.</w:t>
      </w:r>
    </w:p>
    <w:p w14:paraId="10F4F8A8" w14:textId="77777777" w:rsidR="00EB606F" w:rsidRPr="007518F8" w:rsidRDefault="00EB606F" w:rsidP="000A41D4">
      <w:pPr>
        <w:pStyle w:val="Default"/>
        <w:shd w:val="clear" w:color="auto" w:fill="FFFFFF" w:themeFill="background1"/>
        <w:ind w:left="-284"/>
        <w:jc w:val="both"/>
        <w:rPr>
          <w:rFonts w:ascii="Times New Roman" w:hAnsi="Times New Roman" w:cs="Times New Roman"/>
          <w:color w:val="auto"/>
        </w:rPr>
      </w:pPr>
    </w:p>
    <w:p w14:paraId="20F3F284" w14:textId="77777777"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During quarterly PIU meetings, the project team shall discuss and review the effectiveness and use of the GRM and gather suggestions on how to improve it.</w:t>
      </w:r>
    </w:p>
    <w:p w14:paraId="49AB6F3F" w14:textId="77777777" w:rsidR="00EB606F" w:rsidRPr="007518F8" w:rsidRDefault="000762F8" w:rsidP="000A41D4">
      <w:pPr>
        <w:pStyle w:val="2"/>
        <w:ind w:left="-284"/>
        <w:rPr>
          <w:rFonts w:ascii="Times New Roman" w:hAnsi="Times New Roman" w:cs="Times New Roman"/>
          <w:sz w:val="24"/>
          <w:szCs w:val="24"/>
        </w:rPr>
      </w:pPr>
      <w:bookmarkStart w:id="41" w:name="_Toc65760331"/>
      <w:r w:rsidRPr="007518F8">
        <w:rPr>
          <w:rFonts w:ascii="Times New Roman" w:hAnsi="Times New Roman" w:cs="Times New Roman"/>
          <w:sz w:val="24"/>
          <w:szCs w:val="24"/>
          <w:lang w:val="uk-UA"/>
        </w:rPr>
        <w:t xml:space="preserve">6.6.3 </w:t>
      </w:r>
      <w:r w:rsidR="00EB606F" w:rsidRPr="007518F8">
        <w:rPr>
          <w:rFonts w:ascii="Times New Roman" w:hAnsi="Times New Roman" w:cs="Times New Roman"/>
          <w:sz w:val="24"/>
          <w:szCs w:val="24"/>
        </w:rPr>
        <w:t>Reporting in half-yearly and annual progress reports submitted to the World Bank</w:t>
      </w:r>
      <w:bookmarkEnd w:id="41"/>
    </w:p>
    <w:p w14:paraId="50D78DB1" w14:textId="4BDF168B" w:rsidR="00EB606F" w:rsidRPr="007518F8" w:rsidRDefault="00EB606F" w:rsidP="000A41D4">
      <w:pPr>
        <w:ind w:left="-284"/>
        <w:jc w:val="both"/>
        <w:rPr>
          <w:rFonts w:ascii="Times New Roman" w:hAnsi="Times New Roman" w:cs="Times New Roman"/>
          <w:sz w:val="24"/>
          <w:szCs w:val="24"/>
        </w:rPr>
      </w:pPr>
      <w:r w:rsidRPr="007518F8">
        <w:rPr>
          <w:rFonts w:ascii="Times New Roman" w:hAnsi="Times New Roman" w:cs="Times New Roman"/>
          <w:sz w:val="24"/>
          <w:szCs w:val="24"/>
        </w:rPr>
        <w:t>In the semi-annual project implementation repo</w:t>
      </w:r>
      <w:r w:rsidR="005E6A7E" w:rsidRPr="007518F8">
        <w:rPr>
          <w:rFonts w:ascii="Times New Roman" w:hAnsi="Times New Roman" w:cs="Times New Roman"/>
          <w:sz w:val="24"/>
          <w:szCs w:val="24"/>
        </w:rPr>
        <w:t>rts submitted to the Bank, MOH</w:t>
      </w:r>
      <w:r w:rsidRPr="007518F8">
        <w:rPr>
          <w:rFonts w:ascii="Times New Roman" w:hAnsi="Times New Roman" w:cs="Times New Roman"/>
          <w:sz w:val="24"/>
          <w:szCs w:val="24"/>
        </w:rPr>
        <w:t xml:space="preserve"> will provide information on the following: </w:t>
      </w:r>
    </w:p>
    <w:p w14:paraId="786395EA"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Status of establishment of the GRM (procedures, staffing, awareness building, etc.); </w:t>
      </w:r>
    </w:p>
    <w:p w14:paraId="1F7B3150"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Quantitative data on the number of complaints received, the number that were relevant, and the number resolved;</w:t>
      </w:r>
    </w:p>
    <w:p w14:paraId="541F94EA"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Qualitative data on the type of complaints and answers provided, issues that are unresolved;</w:t>
      </w:r>
    </w:p>
    <w:p w14:paraId="5AA0C074"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Time taken to resolve complaints; </w:t>
      </w:r>
    </w:p>
    <w:p w14:paraId="64040E1C"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Number of grievances resolved at the lowest level, raised to higher levels;</w:t>
      </w:r>
    </w:p>
    <w:p w14:paraId="0A9E3E90"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Any particular issues faced with the procedures/staffing or use;</w:t>
      </w:r>
    </w:p>
    <w:p w14:paraId="73D2CD7C" w14:textId="77777777" w:rsidR="00EB606F" w:rsidRPr="007518F8"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Factors that may be affecting the use of the GRM/beneficiary feedback system;</w:t>
      </w:r>
    </w:p>
    <w:p w14:paraId="52638F8D" w14:textId="27A182FB" w:rsidR="00EB606F" w:rsidRPr="00F102C2" w:rsidRDefault="00EB606F" w:rsidP="00EF1D2F">
      <w:pPr>
        <w:pStyle w:val="a4"/>
        <w:numPr>
          <w:ilvl w:val="0"/>
          <w:numId w:val="7"/>
        </w:numPr>
        <w:spacing w:line="240" w:lineRule="auto"/>
        <w:ind w:left="-284" w:firstLine="0"/>
        <w:jc w:val="both"/>
        <w:rPr>
          <w:rFonts w:ascii="Times New Roman" w:hAnsi="Times New Roman" w:cs="Times New Roman"/>
          <w:sz w:val="24"/>
          <w:szCs w:val="24"/>
        </w:rPr>
      </w:pPr>
      <w:r w:rsidRPr="007518F8">
        <w:rPr>
          <w:rFonts w:ascii="Times New Roman" w:hAnsi="Times New Roman" w:cs="Times New Roman"/>
          <w:sz w:val="24"/>
          <w:szCs w:val="24"/>
        </w:rPr>
        <w:t xml:space="preserve">Any corrective measures adopted. </w:t>
      </w:r>
    </w:p>
    <w:p w14:paraId="07B12A24" w14:textId="189D515B" w:rsidR="008054EC" w:rsidRPr="007518F8" w:rsidRDefault="003F36E0" w:rsidP="00A71BAC">
      <w:pPr>
        <w:pStyle w:val="1"/>
        <w:ind w:left="-284"/>
        <w:rPr>
          <w:rFonts w:cs="Times New Roman"/>
          <w:b w:val="0"/>
          <w:bCs/>
          <w:szCs w:val="24"/>
        </w:rPr>
      </w:pPr>
      <w:r w:rsidRPr="007518F8">
        <w:rPr>
          <w:rFonts w:cs="Times New Roman"/>
          <w:szCs w:val="24"/>
        </w:rPr>
        <w:br w:type="page"/>
      </w:r>
    </w:p>
    <w:p w14:paraId="11365967" w14:textId="5635EBAD" w:rsidR="00AA602C" w:rsidRPr="007518F8" w:rsidRDefault="003F36E0" w:rsidP="000A41D4">
      <w:pPr>
        <w:pStyle w:val="1"/>
        <w:ind w:left="-284"/>
        <w:rPr>
          <w:rFonts w:cs="Times New Roman"/>
          <w:szCs w:val="24"/>
        </w:rPr>
      </w:pPr>
      <w:bookmarkStart w:id="42" w:name="_Toc65760332"/>
      <w:r w:rsidRPr="007518F8">
        <w:rPr>
          <w:rFonts w:cs="Times New Roman"/>
          <w:szCs w:val="24"/>
        </w:rPr>
        <w:t xml:space="preserve">Annex </w:t>
      </w:r>
      <w:r w:rsidR="00A71BAC">
        <w:rPr>
          <w:rFonts w:cs="Times New Roman"/>
          <w:szCs w:val="24"/>
        </w:rPr>
        <w:t>1</w:t>
      </w:r>
      <w:r w:rsidRPr="007518F8">
        <w:rPr>
          <w:rFonts w:cs="Times New Roman"/>
          <w:szCs w:val="24"/>
        </w:rPr>
        <w:t>. The grievance form</w:t>
      </w:r>
      <w:bookmarkEnd w:id="42"/>
    </w:p>
    <w:p w14:paraId="59AF28DB" w14:textId="285B2F0F" w:rsidR="003F36E0" w:rsidRPr="007518F8" w:rsidRDefault="003F36E0" w:rsidP="000A41D4">
      <w:pPr>
        <w:ind w:left="-284"/>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1984"/>
        <w:gridCol w:w="749"/>
        <w:gridCol w:w="1094"/>
        <w:gridCol w:w="1984"/>
        <w:gridCol w:w="1962"/>
      </w:tblGrid>
      <w:tr w:rsidR="003F36E0" w:rsidRPr="007518F8" w14:paraId="7C43C991" w14:textId="77777777" w:rsidTr="004612F5">
        <w:trPr>
          <w:trHeight w:val="968"/>
        </w:trPr>
        <w:tc>
          <w:tcPr>
            <w:tcW w:w="9990" w:type="dxa"/>
            <w:gridSpan w:val="6"/>
          </w:tcPr>
          <w:p w14:paraId="24E60AC2" w14:textId="77777777" w:rsidR="003F36E0" w:rsidRPr="007518F8" w:rsidRDefault="003F36E0" w:rsidP="001C6166">
            <w:pPr>
              <w:ind w:left="-284"/>
              <w:jc w:val="center"/>
              <w:rPr>
                <w:b/>
                <w:bCs/>
                <w:color w:val="000000"/>
              </w:rPr>
            </w:pPr>
            <w:r w:rsidRPr="007518F8">
              <w:rPr>
                <w:b/>
                <w:bCs/>
                <w:color w:val="000000"/>
              </w:rPr>
              <w:t>GRIEVANCE/INQUIRY RECORD (Form A)</w:t>
            </w:r>
          </w:p>
          <w:p w14:paraId="28377B10" w14:textId="77777777" w:rsidR="003F36E0" w:rsidRPr="007518F8" w:rsidRDefault="003F36E0" w:rsidP="001C6166">
            <w:pPr>
              <w:ind w:left="-284"/>
              <w:jc w:val="center"/>
              <w:rPr>
                <w:b/>
                <w:bCs/>
                <w:color w:val="000000"/>
              </w:rPr>
            </w:pPr>
          </w:p>
          <w:p w14:paraId="7378CC55" w14:textId="6FECC274" w:rsidR="003F36E0" w:rsidRPr="007518F8" w:rsidRDefault="003F36E0" w:rsidP="001C6166">
            <w:pPr>
              <w:ind w:left="-284"/>
              <w:jc w:val="center"/>
              <w:rPr>
                <w:color w:val="000000"/>
              </w:rPr>
            </w:pPr>
            <w:r w:rsidRPr="007518F8">
              <w:rPr>
                <w:i/>
                <w:iCs/>
                <w:color w:val="000000"/>
              </w:rPr>
              <w:t>Instructions: This form is to be completed by staff receiving the inquiry or grievance and kept in the Project’s file. Attach any supporting documentation/letters as relevant.</w:t>
            </w:r>
          </w:p>
        </w:tc>
      </w:tr>
      <w:tr w:rsidR="003F36E0" w:rsidRPr="007518F8" w14:paraId="1768405B" w14:textId="77777777" w:rsidTr="004612F5">
        <w:trPr>
          <w:trHeight w:val="110"/>
        </w:trPr>
        <w:tc>
          <w:tcPr>
            <w:tcW w:w="4950" w:type="dxa"/>
            <w:gridSpan w:val="3"/>
          </w:tcPr>
          <w:p w14:paraId="4F98C712" w14:textId="68ECD3CD" w:rsidR="003F36E0" w:rsidRPr="007518F8" w:rsidRDefault="003F36E0" w:rsidP="001C6166">
            <w:pPr>
              <w:ind w:left="-284"/>
              <w:jc w:val="center"/>
              <w:rPr>
                <w:color w:val="000000"/>
              </w:rPr>
            </w:pPr>
            <w:r w:rsidRPr="007518F8">
              <w:rPr>
                <w:color w:val="000000"/>
              </w:rPr>
              <w:t>Date Grievance Received:</w:t>
            </w:r>
          </w:p>
          <w:p w14:paraId="3319E012" w14:textId="77777777" w:rsidR="003F36E0" w:rsidRPr="007518F8" w:rsidRDefault="003F36E0" w:rsidP="001C6166">
            <w:pPr>
              <w:ind w:left="-284"/>
              <w:jc w:val="center"/>
              <w:rPr>
                <w:color w:val="000000"/>
              </w:rPr>
            </w:pPr>
          </w:p>
        </w:tc>
        <w:tc>
          <w:tcPr>
            <w:tcW w:w="5040" w:type="dxa"/>
            <w:gridSpan w:val="3"/>
          </w:tcPr>
          <w:p w14:paraId="02B5E6EA" w14:textId="60865363" w:rsidR="003F36E0" w:rsidRPr="007518F8" w:rsidRDefault="003F36E0" w:rsidP="001C6166">
            <w:pPr>
              <w:ind w:left="-284"/>
              <w:jc w:val="center"/>
              <w:rPr>
                <w:color w:val="000000"/>
              </w:rPr>
            </w:pPr>
            <w:r w:rsidRPr="007518F8">
              <w:rPr>
                <w:color w:val="000000"/>
              </w:rPr>
              <w:t>Name of Staff Completing Form:</w:t>
            </w:r>
          </w:p>
        </w:tc>
      </w:tr>
      <w:tr w:rsidR="003F36E0" w:rsidRPr="007518F8" w14:paraId="7D2A5F3F" w14:textId="77777777" w:rsidTr="004612F5">
        <w:trPr>
          <w:trHeight w:val="244"/>
        </w:trPr>
        <w:tc>
          <w:tcPr>
            <w:tcW w:w="9990" w:type="dxa"/>
            <w:gridSpan w:val="6"/>
          </w:tcPr>
          <w:p w14:paraId="15799005" w14:textId="1C39D6BB" w:rsidR="003F36E0" w:rsidRPr="007518F8" w:rsidRDefault="003F36E0" w:rsidP="001C6166">
            <w:pPr>
              <w:ind w:left="-284"/>
              <w:jc w:val="center"/>
              <w:rPr>
                <w:color w:val="000000"/>
              </w:rPr>
            </w:pPr>
            <w:r w:rsidRPr="007518F8">
              <w:rPr>
                <w:color w:val="000000"/>
              </w:rPr>
              <w:t>Grievance Received (check √):</w:t>
            </w:r>
          </w:p>
          <w:p w14:paraId="7396D9B1" w14:textId="71EF8EA2" w:rsidR="003F36E0" w:rsidRPr="007518F8" w:rsidRDefault="003F36E0" w:rsidP="001C6166">
            <w:pPr>
              <w:ind w:left="-284"/>
              <w:jc w:val="center"/>
              <w:rPr>
                <w:color w:val="000000"/>
              </w:rPr>
            </w:pPr>
            <w:r w:rsidRPr="007518F8">
              <w:rPr>
                <w:color w:val="000000"/>
              </w:rPr>
              <w:t>□ National               □ Oblast                 □ Rayon                       □ Village</w:t>
            </w:r>
          </w:p>
        </w:tc>
      </w:tr>
      <w:tr w:rsidR="003F36E0" w:rsidRPr="007518F8" w14:paraId="06B14748" w14:textId="77777777" w:rsidTr="004612F5">
        <w:trPr>
          <w:trHeight w:val="647"/>
        </w:trPr>
        <w:tc>
          <w:tcPr>
            <w:tcW w:w="9990" w:type="dxa"/>
            <w:gridSpan w:val="6"/>
          </w:tcPr>
          <w:p w14:paraId="5D94EF24" w14:textId="0E3FE0BB" w:rsidR="003F36E0" w:rsidRPr="007518F8" w:rsidRDefault="003F36E0" w:rsidP="001C6166">
            <w:pPr>
              <w:ind w:left="-284"/>
              <w:jc w:val="center"/>
              <w:rPr>
                <w:color w:val="000000"/>
              </w:rPr>
            </w:pPr>
            <w:r w:rsidRPr="007518F8">
              <w:rPr>
                <w:color w:val="000000"/>
              </w:rPr>
              <w:t>Mode of Filing Inquiry or Grievance (check √):</w:t>
            </w:r>
          </w:p>
          <w:p w14:paraId="35A730A4" w14:textId="77777777" w:rsidR="003F36E0" w:rsidRPr="007518F8" w:rsidRDefault="003F36E0" w:rsidP="001C6166">
            <w:pPr>
              <w:ind w:left="-284"/>
              <w:jc w:val="center"/>
              <w:rPr>
                <w:color w:val="000000"/>
              </w:rPr>
            </w:pPr>
          </w:p>
          <w:p w14:paraId="6A01C104" w14:textId="439D0D6C" w:rsidR="003F36E0" w:rsidRPr="007518F8" w:rsidRDefault="003F36E0" w:rsidP="001C6166">
            <w:pPr>
              <w:ind w:left="-284"/>
              <w:jc w:val="center"/>
              <w:rPr>
                <w:color w:val="000000"/>
              </w:rPr>
            </w:pPr>
            <w:r w:rsidRPr="007518F8">
              <w:rPr>
                <w:color w:val="000000"/>
              </w:rPr>
              <w:t>□ In person            □ Telephone          □ E-mail              □ Phone Text Message          □ Website</w:t>
            </w:r>
          </w:p>
          <w:p w14:paraId="6056B48E" w14:textId="77777777" w:rsidR="003F36E0" w:rsidRPr="007518F8" w:rsidRDefault="003F36E0" w:rsidP="001C6166">
            <w:pPr>
              <w:ind w:left="-284"/>
              <w:jc w:val="center"/>
              <w:rPr>
                <w:color w:val="000000"/>
              </w:rPr>
            </w:pPr>
          </w:p>
          <w:p w14:paraId="7959A052" w14:textId="77777777" w:rsidR="003F36E0" w:rsidRPr="007518F8" w:rsidRDefault="003F36E0" w:rsidP="001C6166">
            <w:pPr>
              <w:ind w:left="-284"/>
              <w:jc w:val="center"/>
              <w:rPr>
                <w:color w:val="000000"/>
              </w:rPr>
            </w:pPr>
            <w:r w:rsidRPr="007518F8">
              <w:rPr>
                <w:color w:val="000000"/>
              </w:rPr>
              <w:t>□ Grievance/Suggestion box     □ Community meeting    □ Public consultation         □ Other ______________</w:t>
            </w:r>
          </w:p>
          <w:p w14:paraId="7E6869D7" w14:textId="77777777" w:rsidR="003F36E0" w:rsidRPr="007518F8" w:rsidRDefault="003F36E0" w:rsidP="001C6166">
            <w:pPr>
              <w:ind w:left="-284"/>
              <w:jc w:val="center"/>
              <w:rPr>
                <w:color w:val="000000"/>
              </w:rPr>
            </w:pPr>
          </w:p>
        </w:tc>
      </w:tr>
      <w:tr w:rsidR="003F36E0" w:rsidRPr="007518F8" w14:paraId="2BF75C05" w14:textId="77777777" w:rsidTr="004612F5">
        <w:trPr>
          <w:trHeight w:val="379"/>
        </w:trPr>
        <w:tc>
          <w:tcPr>
            <w:tcW w:w="9990" w:type="dxa"/>
            <w:gridSpan w:val="6"/>
          </w:tcPr>
          <w:p w14:paraId="5A085777" w14:textId="7B18B781" w:rsidR="003F36E0" w:rsidRPr="007518F8" w:rsidRDefault="003F36E0" w:rsidP="001C6166">
            <w:pPr>
              <w:ind w:left="-284"/>
              <w:jc w:val="center"/>
              <w:rPr>
                <w:i/>
                <w:iCs/>
                <w:color w:val="000000"/>
              </w:rPr>
            </w:pPr>
            <w:r w:rsidRPr="007518F8">
              <w:rPr>
                <w:color w:val="000000"/>
              </w:rPr>
              <w:t xml:space="preserve">Name of Person Raising Grievance: </w:t>
            </w:r>
            <w:r w:rsidRPr="007518F8">
              <w:rPr>
                <w:i/>
                <w:iCs/>
                <w:color w:val="000000"/>
              </w:rPr>
              <w:t>(information is optional and always treated as confidential)</w:t>
            </w:r>
          </w:p>
          <w:p w14:paraId="0D1066EC" w14:textId="77777777" w:rsidR="003F36E0" w:rsidRPr="007518F8" w:rsidRDefault="003F36E0" w:rsidP="001C6166">
            <w:pPr>
              <w:ind w:left="-284"/>
              <w:jc w:val="center"/>
              <w:rPr>
                <w:color w:val="000000"/>
              </w:rPr>
            </w:pPr>
          </w:p>
          <w:p w14:paraId="4949146C" w14:textId="77777777" w:rsidR="003F36E0" w:rsidRPr="007518F8" w:rsidRDefault="003F36E0" w:rsidP="001C6166">
            <w:pPr>
              <w:ind w:left="-284"/>
              <w:jc w:val="center"/>
              <w:rPr>
                <w:color w:val="000000"/>
              </w:rPr>
            </w:pPr>
          </w:p>
          <w:p w14:paraId="13A13EEA" w14:textId="7E44D6CE" w:rsidR="003F36E0" w:rsidRPr="007518F8" w:rsidRDefault="003F36E0" w:rsidP="001C6166">
            <w:pPr>
              <w:ind w:left="-284"/>
              <w:jc w:val="center"/>
              <w:rPr>
                <w:i/>
                <w:iCs/>
                <w:color w:val="000000"/>
              </w:rPr>
            </w:pPr>
            <w:r w:rsidRPr="007518F8">
              <w:rPr>
                <w:i/>
                <w:iCs/>
                <w:color w:val="000000"/>
              </w:rPr>
              <w:t xml:space="preserve">Gender:   </w:t>
            </w:r>
            <w:r w:rsidRPr="007518F8">
              <w:rPr>
                <w:color w:val="000000"/>
              </w:rPr>
              <w:t xml:space="preserve">□ </w:t>
            </w:r>
            <w:r w:rsidRPr="007518F8">
              <w:rPr>
                <w:i/>
                <w:iCs/>
                <w:color w:val="000000"/>
              </w:rPr>
              <w:t xml:space="preserve">Male </w:t>
            </w:r>
            <w:r w:rsidRPr="007518F8">
              <w:rPr>
                <w:color w:val="000000"/>
              </w:rPr>
              <w:t xml:space="preserve">□ </w:t>
            </w:r>
            <w:r w:rsidRPr="007518F8">
              <w:rPr>
                <w:i/>
                <w:iCs/>
                <w:color w:val="000000"/>
              </w:rPr>
              <w:t>Female</w:t>
            </w:r>
          </w:p>
        </w:tc>
      </w:tr>
      <w:tr w:rsidR="003F36E0" w:rsidRPr="007518F8" w14:paraId="40B4DE47" w14:textId="77777777" w:rsidTr="004612F5">
        <w:trPr>
          <w:trHeight w:val="110"/>
        </w:trPr>
        <w:tc>
          <w:tcPr>
            <w:tcW w:w="9990" w:type="dxa"/>
            <w:gridSpan w:val="6"/>
          </w:tcPr>
          <w:p w14:paraId="4B91EA75" w14:textId="31F1A249" w:rsidR="003F36E0" w:rsidRPr="007518F8" w:rsidRDefault="003F36E0" w:rsidP="001C6166">
            <w:pPr>
              <w:ind w:left="-284"/>
              <w:jc w:val="center"/>
              <w:rPr>
                <w:i/>
                <w:iCs/>
                <w:color w:val="000000"/>
              </w:rPr>
            </w:pPr>
            <w:r w:rsidRPr="007518F8">
              <w:rPr>
                <w:color w:val="000000"/>
              </w:rPr>
              <w:t xml:space="preserve">Address or contact information for Person Raising Grievance: </w:t>
            </w:r>
            <w:r w:rsidRPr="007518F8">
              <w:rPr>
                <w:i/>
                <w:iCs/>
                <w:color w:val="000000"/>
              </w:rPr>
              <w:t>(information is optional and confidential)</w:t>
            </w:r>
          </w:p>
          <w:p w14:paraId="37DC5EA6" w14:textId="77777777" w:rsidR="003F36E0" w:rsidRPr="007518F8" w:rsidRDefault="003F36E0" w:rsidP="001C6166">
            <w:pPr>
              <w:ind w:left="-284"/>
              <w:jc w:val="center"/>
              <w:rPr>
                <w:i/>
                <w:iCs/>
                <w:color w:val="000000"/>
              </w:rPr>
            </w:pPr>
          </w:p>
          <w:p w14:paraId="1C27DF79" w14:textId="77777777" w:rsidR="003F36E0" w:rsidRPr="007518F8" w:rsidRDefault="003F36E0" w:rsidP="001C6166">
            <w:pPr>
              <w:ind w:left="-284"/>
              <w:jc w:val="center"/>
              <w:rPr>
                <w:color w:val="000000"/>
              </w:rPr>
            </w:pPr>
          </w:p>
        </w:tc>
      </w:tr>
      <w:tr w:rsidR="003F36E0" w:rsidRPr="007518F8" w14:paraId="66E1B27F" w14:textId="77777777" w:rsidTr="004612F5">
        <w:trPr>
          <w:trHeight w:val="110"/>
        </w:trPr>
        <w:tc>
          <w:tcPr>
            <w:tcW w:w="9990" w:type="dxa"/>
            <w:gridSpan w:val="6"/>
          </w:tcPr>
          <w:p w14:paraId="75C021E8" w14:textId="77777777" w:rsidR="003F36E0" w:rsidRPr="007518F8" w:rsidRDefault="003F36E0" w:rsidP="001C6166">
            <w:pPr>
              <w:ind w:left="-284"/>
              <w:jc w:val="center"/>
              <w:rPr>
                <w:color w:val="000000"/>
              </w:rPr>
            </w:pPr>
            <w:r w:rsidRPr="007518F8">
              <w:rPr>
                <w:color w:val="000000"/>
              </w:rPr>
              <w:t>Location where grievance/problem occurred [write in]</w:t>
            </w:r>
          </w:p>
        </w:tc>
      </w:tr>
      <w:tr w:rsidR="003F36E0" w:rsidRPr="007518F8" w14:paraId="095E1567" w14:textId="77777777" w:rsidTr="004612F5">
        <w:trPr>
          <w:trHeight w:val="110"/>
        </w:trPr>
        <w:tc>
          <w:tcPr>
            <w:tcW w:w="2217" w:type="dxa"/>
          </w:tcPr>
          <w:p w14:paraId="7B899DA8" w14:textId="1DEB9154" w:rsidR="003F36E0" w:rsidRPr="007518F8" w:rsidRDefault="003F36E0" w:rsidP="001C6166">
            <w:pPr>
              <w:ind w:left="-284"/>
              <w:jc w:val="center"/>
              <w:rPr>
                <w:color w:val="000000"/>
              </w:rPr>
            </w:pPr>
            <w:r w:rsidRPr="007518F8">
              <w:rPr>
                <w:color w:val="000000"/>
              </w:rPr>
              <w:t>National:</w:t>
            </w:r>
          </w:p>
          <w:p w14:paraId="697228F8" w14:textId="77777777" w:rsidR="003F36E0" w:rsidRPr="007518F8" w:rsidRDefault="003F36E0" w:rsidP="001C6166">
            <w:pPr>
              <w:ind w:left="-284"/>
              <w:jc w:val="center"/>
              <w:rPr>
                <w:color w:val="000000"/>
              </w:rPr>
            </w:pPr>
          </w:p>
          <w:p w14:paraId="5B9AA482" w14:textId="77777777" w:rsidR="003F36E0" w:rsidRPr="007518F8" w:rsidRDefault="003F36E0" w:rsidP="001C6166">
            <w:pPr>
              <w:ind w:left="-284"/>
              <w:jc w:val="center"/>
              <w:rPr>
                <w:color w:val="000000"/>
              </w:rPr>
            </w:pPr>
          </w:p>
          <w:p w14:paraId="56A5F713" w14:textId="77777777" w:rsidR="003F36E0" w:rsidRPr="007518F8" w:rsidRDefault="003F36E0" w:rsidP="001C6166">
            <w:pPr>
              <w:ind w:left="-284"/>
              <w:jc w:val="center"/>
              <w:rPr>
                <w:color w:val="000000"/>
              </w:rPr>
            </w:pPr>
          </w:p>
        </w:tc>
        <w:tc>
          <w:tcPr>
            <w:tcW w:w="1984" w:type="dxa"/>
          </w:tcPr>
          <w:p w14:paraId="38048AAA" w14:textId="71330FF1" w:rsidR="003F36E0" w:rsidRPr="007518F8" w:rsidRDefault="003F36E0" w:rsidP="001C6166">
            <w:pPr>
              <w:ind w:left="-284"/>
              <w:jc w:val="center"/>
              <w:rPr>
                <w:color w:val="000000"/>
              </w:rPr>
            </w:pPr>
            <w:r w:rsidRPr="007518F8">
              <w:rPr>
                <w:color w:val="000000"/>
              </w:rPr>
              <w:t>Oblast:</w:t>
            </w:r>
          </w:p>
        </w:tc>
        <w:tc>
          <w:tcPr>
            <w:tcW w:w="1843" w:type="dxa"/>
            <w:gridSpan w:val="2"/>
          </w:tcPr>
          <w:p w14:paraId="214871C7" w14:textId="4EF774E1" w:rsidR="003F36E0" w:rsidRPr="007518F8" w:rsidRDefault="003F36E0" w:rsidP="001C6166">
            <w:pPr>
              <w:ind w:left="-284"/>
              <w:jc w:val="center"/>
              <w:rPr>
                <w:color w:val="000000"/>
              </w:rPr>
            </w:pPr>
            <w:r w:rsidRPr="007518F8">
              <w:rPr>
                <w:color w:val="000000"/>
              </w:rPr>
              <w:t>Rayon:</w:t>
            </w:r>
          </w:p>
        </w:tc>
        <w:tc>
          <w:tcPr>
            <w:tcW w:w="1984" w:type="dxa"/>
          </w:tcPr>
          <w:p w14:paraId="7341A6D9" w14:textId="77777777" w:rsidR="003F36E0" w:rsidRPr="007518F8" w:rsidRDefault="003F36E0" w:rsidP="001C6166">
            <w:pPr>
              <w:ind w:left="-284"/>
              <w:jc w:val="center"/>
              <w:rPr>
                <w:color w:val="000000"/>
              </w:rPr>
            </w:pPr>
            <w:r w:rsidRPr="007518F8">
              <w:rPr>
                <w:color w:val="000000"/>
              </w:rPr>
              <w:t>Village:</w:t>
            </w:r>
          </w:p>
        </w:tc>
        <w:tc>
          <w:tcPr>
            <w:tcW w:w="1962" w:type="dxa"/>
          </w:tcPr>
          <w:p w14:paraId="38AABE94" w14:textId="77777777" w:rsidR="003F36E0" w:rsidRPr="007518F8" w:rsidRDefault="003F36E0" w:rsidP="001C6166">
            <w:pPr>
              <w:ind w:left="-284"/>
              <w:jc w:val="center"/>
              <w:rPr>
                <w:color w:val="000000"/>
              </w:rPr>
            </w:pPr>
          </w:p>
        </w:tc>
      </w:tr>
      <w:tr w:rsidR="003F36E0" w:rsidRPr="007518F8" w14:paraId="57D1257C" w14:textId="77777777" w:rsidTr="004612F5">
        <w:trPr>
          <w:trHeight w:val="431"/>
        </w:trPr>
        <w:tc>
          <w:tcPr>
            <w:tcW w:w="9990" w:type="dxa"/>
            <w:gridSpan w:val="6"/>
          </w:tcPr>
          <w:p w14:paraId="7967B787" w14:textId="064BBDF9" w:rsidR="003F36E0" w:rsidRPr="007518F8" w:rsidRDefault="003F36E0" w:rsidP="001C6166">
            <w:pPr>
              <w:ind w:left="-284"/>
              <w:jc w:val="center"/>
              <w:rPr>
                <w:i/>
                <w:iCs/>
                <w:color w:val="000000"/>
              </w:rPr>
            </w:pPr>
            <w:r w:rsidRPr="007518F8">
              <w:rPr>
                <w:color w:val="000000"/>
              </w:rPr>
              <w:t xml:space="preserve">Brief Description of Grievance or Inquiry: </w:t>
            </w:r>
            <w:r w:rsidRPr="007518F8">
              <w:rPr>
                <w:i/>
                <w:iCs/>
                <w:color w:val="000000"/>
              </w:rPr>
              <w:t>(Provide as much detail and facts as possible)</w:t>
            </w:r>
          </w:p>
          <w:p w14:paraId="1AF8AF34" w14:textId="77777777" w:rsidR="003F36E0" w:rsidRPr="007518F8" w:rsidRDefault="003F36E0" w:rsidP="001C6166">
            <w:pPr>
              <w:ind w:left="-284"/>
              <w:jc w:val="center"/>
              <w:rPr>
                <w:i/>
                <w:iCs/>
                <w:color w:val="000000"/>
              </w:rPr>
            </w:pPr>
          </w:p>
          <w:p w14:paraId="51662CCA" w14:textId="77777777" w:rsidR="003F36E0" w:rsidRPr="007518F8" w:rsidRDefault="003F36E0" w:rsidP="001C6166">
            <w:pPr>
              <w:ind w:left="-284"/>
              <w:jc w:val="center"/>
              <w:rPr>
                <w:color w:val="000000"/>
              </w:rPr>
            </w:pPr>
          </w:p>
        </w:tc>
      </w:tr>
    </w:tbl>
    <w:p w14:paraId="4D292C36" w14:textId="7B6AC03E" w:rsidR="003F36E0" w:rsidRPr="007518F8" w:rsidRDefault="003F36E0" w:rsidP="000A41D4">
      <w:pPr>
        <w:ind w:left="-284"/>
      </w:pPr>
    </w:p>
    <w:p w14:paraId="495DF90B" w14:textId="3527F1D7" w:rsidR="003F36E0" w:rsidRPr="007518F8" w:rsidRDefault="003F36E0" w:rsidP="000A41D4">
      <w:pPr>
        <w:ind w:left="-284"/>
      </w:pPr>
    </w:p>
    <w:tbl>
      <w:tblPr>
        <w:tblStyle w:val="ac"/>
        <w:tblW w:w="9990" w:type="dxa"/>
        <w:tblInd w:w="-95" w:type="dxa"/>
        <w:tblLayout w:type="fixed"/>
        <w:tblLook w:val="04A0" w:firstRow="1" w:lastRow="0" w:firstColumn="1" w:lastColumn="0" w:noHBand="0" w:noVBand="1"/>
      </w:tblPr>
      <w:tblGrid>
        <w:gridCol w:w="360"/>
        <w:gridCol w:w="1754"/>
        <w:gridCol w:w="7876"/>
      </w:tblGrid>
      <w:tr w:rsidR="003F36E0" w:rsidRPr="007518F8" w14:paraId="5AA052DD" w14:textId="77777777" w:rsidTr="004612F5">
        <w:tc>
          <w:tcPr>
            <w:tcW w:w="360" w:type="dxa"/>
          </w:tcPr>
          <w:p w14:paraId="309F3B46" w14:textId="77777777" w:rsidR="003F36E0" w:rsidRPr="007518F8" w:rsidRDefault="003F36E0" w:rsidP="001C6166">
            <w:pPr>
              <w:ind w:left="-284"/>
              <w:jc w:val="center"/>
            </w:pPr>
          </w:p>
        </w:tc>
        <w:tc>
          <w:tcPr>
            <w:tcW w:w="1754" w:type="dxa"/>
            <w:vAlign w:val="bottom"/>
          </w:tcPr>
          <w:p w14:paraId="67B1ABAB" w14:textId="77777777" w:rsidR="003F36E0" w:rsidRPr="007518F8" w:rsidRDefault="003F36E0" w:rsidP="001C6166">
            <w:pPr>
              <w:ind w:left="-284"/>
              <w:jc w:val="center"/>
            </w:pPr>
            <w:r w:rsidRPr="007518F8">
              <w:t>Category 1</w:t>
            </w:r>
          </w:p>
        </w:tc>
        <w:tc>
          <w:tcPr>
            <w:tcW w:w="7876" w:type="dxa"/>
            <w:vAlign w:val="bottom"/>
          </w:tcPr>
          <w:p w14:paraId="2613A4A7" w14:textId="77777777" w:rsidR="003F36E0" w:rsidRPr="007518F8" w:rsidRDefault="003F36E0" w:rsidP="001C6166">
            <w:pPr>
              <w:ind w:left="-284"/>
              <w:jc w:val="center"/>
            </w:pPr>
            <w:r w:rsidRPr="007518F8">
              <w:t>Social Safeguards</w:t>
            </w:r>
          </w:p>
        </w:tc>
      </w:tr>
      <w:tr w:rsidR="003F36E0" w:rsidRPr="007518F8" w14:paraId="0D59FE28" w14:textId="77777777" w:rsidTr="004612F5">
        <w:tc>
          <w:tcPr>
            <w:tcW w:w="360" w:type="dxa"/>
          </w:tcPr>
          <w:p w14:paraId="5397CAF7" w14:textId="77777777" w:rsidR="003F36E0" w:rsidRPr="007518F8" w:rsidRDefault="003F36E0" w:rsidP="001C6166">
            <w:pPr>
              <w:ind w:left="-284"/>
              <w:jc w:val="center"/>
            </w:pPr>
          </w:p>
        </w:tc>
        <w:tc>
          <w:tcPr>
            <w:tcW w:w="1754" w:type="dxa"/>
            <w:vAlign w:val="bottom"/>
          </w:tcPr>
          <w:p w14:paraId="0152480A" w14:textId="77777777" w:rsidR="003F36E0" w:rsidRPr="007518F8" w:rsidRDefault="003F36E0" w:rsidP="001C6166">
            <w:pPr>
              <w:ind w:left="-284"/>
              <w:jc w:val="center"/>
            </w:pPr>
            <w:r w:rsidRPr="007518F8">
              <w:t>Category 2</w:t>
            </w:r>
          </w:p>
        </w:tc>
        <w:tc>
          <w:tcPr>
            <w:tcW w:w="7876" w:type="dxa"/>
            <w:vAlign w:val="bottom"/>
          </w:tcPr>
          <w:p w14:paraId="4CA26719" w14:textId="77777777" w:rsidR="003F36E0" w:rsidRPr="007518F8" w:rsidRDefault="003F36E0" w:rsidP="001C6166">
            <w:pPr>
              <w:ind w:left="-284"/>
              <w:jc w:val="center"/>
            </w:pPr>
            <w:r w:rsidRPr="007518F8">
              <w:t>Environmental Safeguards</w:t>
            </w:r>
          </w:p>
        </w:tc>
      </w:tr>
      <w:tr w:rsidR="003F36E0" w:rsidRPr="007518F8" w14:paraId="4C209DFB" w14:textId="77777777" w:rsidTr="004612F5">
        <w:tc>
          <w:tcPr>
            <w:tcW w:w="360" w:type="dxa"/>
          </w:tcPr>
          <w:p w14:paraId="5077FBD4" w14:textId="77777777" w:rsidR="003F36E0" w:rsidRPr="007518F8" w:rsidRDefault="003F36E0" w:rsidP="001C6166">
            <w:pPr>
              <w:ind w:left="-284"/>
              <w:jc w:val="center"/>
            </w:pPr>
          </w:p>
        </w:tc>
        <w:tc>
          <w:tcPr>
            <w:tcW w:w="1754" w:type="dxa"/>
            <w:vAlign w:val="bottom"/>
          </w:tcPr>
          <w:p w14:paraId="2604CFCE" w14:textId="77777777" w:rsidR="003F36E0" w:rsidRPr="007518F8" w:rsidRDefault="003F36E0" w:rsidP="001C6166">
            <w:pPr>
              <w:ind w:left="-284"/>
              <w:jc w:val="center"/>
            </w:pPr>
            <w:r w:rsidRPr="007518F8">
              <w:t>Category 3</w:t>
            </w:r>
          </w:p>
        </w:tc>
        <w:tc>
          <w:tcPr>
            <w:tcW w:w="7876" w:type="dxa"/>
            <w:vAlign w:val="bottom"/>
          </w:tcPr>
          <w:p w14:paraId="21A4D8DF" w14:textId="22C3B1F4" w:rsidR="003F36E0" w:rsidRPr="007518F8" w:rsidRDefault="003F36E0" w:rsidP="001C6166">
            <w:pPr>
              <w:ind w:left="-284"/>
              <w:jc w:val="center"/>
            </w:pPr>
            <w:r w:rsidRPr="007518F8">
              <w:t>Grievances regarding violations of policies, guidelines and procedures</w:t>
            </w:r>
          </w:p>
        </w:tc>
      </w:tr>
      <w:tr w:rsidR="003F36E0" w:rsidRPr="007518F8" w14:paraId="406F96A6" w14:textId="77777777" w:rsidTr="004612F5">
        <w:tc>
          <w:tcPr>
            <w:tcW w:w="360" w:type="dxa"/>
          </w:tcPr>
          <w:p w14:paraId="1A597E27" w14:textId="77777777" w:rsidR="003F36E0" w:rsidRPr="007518F8" w:rsidRDefault="003F36E0" w:rsidP="001C6166">
            <w:pPr>
              <w:ind w:left="-284"/>
              <w:jc w:val="center"/>
            </w:pPr>
          </w:p>
        </w:tc>
        <w:tc>
          <w:tcPr>
            <w:tcW w:w="1754" w:type="dxa"/>
            <w:vAlign w:val="bottom"/>
          </w:tcPr>
          <w:p w14:paraId="76495B15" w14:textId="77777777" w:rsidR="003F36E0" w:rsidRPr="007518F8" w:rsidRDefault="003F36E0" w:rsidP="001C6166">
            <w:pPr>
              <w:ind w:left="-284"/>
              <w:jc w:val="center"/>
            </w:pPr>
            <w:r w:rsidRPr="007518F8">
              <w:t>Category 4</w:t>
            </w:r>
          </w:p>
        </w:tc>
        <w:tc>
          <w:tcPr>
            <w:tcW w:w="7876" w:type="dxa"/>
            <w:vAlign w:val="bottom"/>
          </w:tcPr>
          <w:p w14:paraId="77382851" w14:textId="77777777" w:rsidR="003F36E0" w:rsidRPr="007518F8" w:rsidRDefault="003F36E0" w:rsidP="001C6166">
            <w:pPr>
              <w:ind w:left="-284"/>
              <w:jc w:val="center"/>
            </w:pPr>
            <w:r w:rsidRPr="007518F8">
              <w:t>Grievances regarding contract violations</w:t>
            </w:r>
          </w:p>
        </w:tc>
      </w:tr>
      <w:tr w:rsidR="003F36E0" w:rsidRPr="007518F8" w14:paraId="498DF519" w14:textId="77777777" w:rsidTr="004612F5">
        <w:tc>
          <w:tcPr>
            <w:tcW w:w="360" w:type="dxa"/>
          </w:tcPr>
          <w:p w14:paraId="13F33573" w14:textId="77777777" w:rsidR="003F36E0" w:rsidRPr="007518F8" w:rsidRDefault="003F36E0" w:rsidP="001C6166">
            <w:pPr>
              <w:ind w:left="-284"/>
              <w:jc w:val="center"/>
            </w:pPr>
          </w:p>
        </w:tc>
        <w:tc>
          <w:tcPr>
            <w:tcW w:w="1754" w:type="dxa"/>
            <w:vAlign w:val="bottom"/>
          </w:tcPr>
          <w:p w14:paraId="745639C4" w14:textId="77777777" w:rsidR="003F36E0" w:rsidRPr="007518F8" w:rsidRDefault="003F36E0" w:rsidP="001C6166">
            <w:pPr>
              <w:ind w:left="-284"/>
              <w:jc w:val="center"/>
            </w:pPr>
            <w:r w:rsidRPr="007518F8">
              <w:t>Category 5</w:t>
            </w:r>
          </w:p>
        </w:tc>
        <w:tc>
          <w:tcPr>
            <w:tcW w:w="7876" w:type="dxa"/>
            <w:vAlign w:val="bottom"/>
          </w:tcPr>
          <w:p w14:paraId="2AF30EDD" w14:textId="77777777" w:rsidR="003F36E0" w:rsidRPr="007518F8" w:rsidRDefault="003F36E0" w:rsidP="001C6166">
            <w:pPr>
              <w:ind w:left="-284"/>
              <w:jc w:val="center"/>
            </w:pPr>
            <w:r w:rsidRPr="007518F8">
              <w:t>Grievances regarding the misuse of funds/lack of transparency, or other financial management concerns</w:t>
            </w:r>
          </w:p>
        </w:tc>
      </w:tr>
      <w:tr w:rsidR="003F36E0" w:rsidRPr="007518F8" w14:paraId="0323B995" w14:textId="77777777" w:rsidTr="004612F5">
        <w:tc>
          <w:tcPr>
            <w:tcW w:w="360" w:type="dxa"/>
          </w:tcPr>
          <w:p w14:paraId="66009E7D" w14:textId="77777777" w:rsidR="003F36E0" w:rsidRPr="007518F8" w:rsidRDefault="003F36E0" w:rsidP="001C6166">
            <w:pPr>
              <w:ind w:left="-284"/>
              <w:jc w:val="center"/>
            </w:pPr>
          </w:p>
        </w:tc>
        <w:tc>
          <w:tcPr>
            <w:tcW w:w="1754" w:type="dxa"/>
            <w:vAlign w:val="bottom"/>
          </w:tcPr>
          <w:p w14:paraId="40CD1C85" w14:textId="77777777" w:rsidR="003F36E0" w:rsidRPr="007518F8" w:rsidRDefault="003F36E0" w:rsidP="001C6166">
            <w:pPr>
              <w:ind w:left="-284"/>
              <w:jc w:val="center"/>
            </w:pPr>
            <w:r w:rsidRPr="007518F8">
              <w:t>Category 6</w:t>
            </w:r>
          </w:p>
        </w:tc>
        <w:tc>
          <w:tcPr>
            <w:tcW w:w="7876" w:type="dxa"/>
            <w:vAlign w:val="bottom"/>
          </w:tcPr>
          <w:p w14:paraId="17CBDE81" w14:textId="77777777" w:rsidR="003F36E0" w:rsidRPr="007518F8" w:rsidRDefault="003F36E0" w:rsidP="001C6166">
            <w:pPr>
              <w:ind w:left="-284"/>
              <w:jc w:val="center"/>
            </w:pPr>
            <w:r w:rsidRPr="007518F8">
              <w:t>Grievances regarding abuse of power/intervention by project or government officials</w:t>
            </w:r>
          </w:p>
        </w:tc>
      </w:tr>
      <w:tr w:rsidR="003F36E0" w:rsidRPr="007518F8" w14:paraId="0FAAF264" w14:textId="77777777" w:rsidTr="004612F5">
        <w:tc>
          <w:tcPr>
            <w:tcW w:w="360" w:type="dxa"/>
          </w:tcPr>
          <w:p w14:paraId="0C933DE2" w14:textId="77777777" w:rsidR="003F36E0" w:rsidRPr="007518F8" w:rsidRDefault="003F36E0" w:rsidP="001C6166">
            <w:pPr>
              <w:ind w:left="-284"/>
              <w:jc w:val="center"/>
            </w:pPr>
          </w:p>
        </w:tc>
        <w:tc>
          <w:tcPr>
            <w:tcW w:w="1754" w:type="dxa"/>
            <w:vAlign w:val="bottom"/>
          </w:tcPr>
          <w:p w14:paraId="07B9B5CA" w14:textId="77777777" w:rsidR="003F36E0" w:rsidRPr="007518F8" w:rsidRDefault="003F36E0" w:rsidP="001C6166">
            <w:pPr>
              <w:ind w:left="-284"/>
              <w:jc w:val="center"/>
            </w:pPr>
            <w:r w:rsidRPr="007518F8">
              <w:t>Category 7</w:t>
            </w:r>
          </w:p>
        </w:tc>
        <w:tc>
          <w:tcPr>
            <w:tcW w:w="7876" w:type="dxa"/>
            <w:vAlign w:val="bottom"/>
          </w:tcPr>
          <w:p w14:paraId="7A7FB0B4" w14:textId="77777777" w:rsidR="003F36E0" w:rsidRPr="007518F8" w:rsidRDefault="003F36E0" w:rsidP="001C6166">
            <w:pPr>
              <w:ind w:left="-284"/>
              <w:jc w:val="center"/>
            </w:pPr>
            <w:r w:rsidRPr="007518F8">
              <w:t>Grievances regarding MERP staff performance</w:t>
            </w:r>
          </w:p>
        </w:tc>
      </w:tr>
      <w:tr w:rsidR="003F36E0" w:rsidRPr="007518F8" w14:paraId="6B8DC4F4" w14:textId="77777777" w:rsidTr="004612F5">
        <w:tc>
          <w:tcPr>
            <w:tcW w:w="360" w:type="dxa"/>
          </w:tcPr>
          <w:p w14:paraId="2C21A2CC" w14:textId="77777777" w:rsidR="003F36E0" w:rsidRPr="007518F8" w:rsidRDefault="003F36E0" w:rsidP="001C6166">
            <w:pPr>
              <w:ind w:left="-284"/>
              <w:jc w:val="center"/>
            </w:pPr>
          </w:p>
        </w:tc>
        <w:tc>
          <w:tcPr>
            <w:tcW w:w="1754" w:type="dxa"/>
            <w:vAlign w:val="bottom"/>
          </w:tcPr>
          <w:p w14:paraId="216F35FE" w14:textId="77777777" w:rsidR="003F36E0" w:rsidRPr="007518F8" w:rsidRDefault="003F36E0" w:rsidP="001C6166">
            <w:pPr>
              <w:ind w:left="-284"/>
              <w:jc w:val="center"/>
            </w:pPr>
            <w:r w:rsidRPr="007518F8">
              <w:t>Category 8</w:t>
            </w:r>
          </w:p>
        </w:tc>
        <w:tc>
          <w:tcPr>
            <w:tcW w:w="7876" w:type="dxa"/>
            <w:vAlign w:val="bottom"/>
          </w:tcPr>
          <w:p w14:paraId="4277087F" w14:textId="77777777" w:rsidR="003F36E0" w:rsidRPr="007518F8" w:rsidRDefault="003F36E0" w:rsidP="001C6166">
            <w:pPr>
              <w:ind w:left="-284"/>
              <w:jc w:val="center"/>
            </w:pPr>
            <w:r w:rsidRPr="007518F8">
              <w:t>Reports of force majeure</w:t>
            </w:r>
          </w:p>
        </w:tc>
      </w:tr>
      <w:tr w:rsidR="003F36E0" w:rsidRPr="007518F8" w14:paraId="59C7D5F7" w14:textId="77777777" w:rsidTr="004612F5">
        <w:tc>
          <w:tcPr>
            <w:tcW w:w="360" w:type="dxa"/>
          </w:tcPr>
          <w:p w14:paraId="38C9B628" w14:textId="77777777" w:rsidR="003F36E0" w:rsidRPr="007518F8" w:rsidRDefault="003F36E0" w:rsidP="001C6166">
            <w:pPr>
              <w:ind w:left="-284"/>
              <w:jc w:val="center"/>
            </w:pPr>
          </w:p>
        </w:tc>
        <w:tc>
          <w:tcPr>
            <w:tcW w:w="1754" w:type="dxa"/>
            <w:vAlign w:val="bottom"/>
          </w:tcPr>
          <w:p w14:paraId="2D5DFD91" w14:textId="77777777" w:rsidR="003F36E0" w:rsidRPr="007518F8" w:rsidRDefault="003F36E0" w:rsidP="001C6166">
            <w:pPr>
              <w:ind w:left="-284"/>
              <w:jc w:val="center"/>
            </w:pPr>
            <w:r w:rsidRPr="007518F8">
              <w:t>Category 9</w:t>
            </w:r>
          </w:p>
        </w:tc>
        <w:tc>
          <w:tcPr>
            <w:tcW w:w="7876" w:type="dxa"/>
            <w:vAlign w:val="bottom"/>
          </w:tcPr>
          <w:p w14:paraId="09D55FC6" w14:textId="77777777" w:rsidR="003F36E0" w:rsidRPr="007518F8" w:rsidRDefault="003F36E0" w:rsidP="001C6166">
            <w:pPr>
              <w:ind w:left="-284"/>
              <w:jc w:val="center"/>
            </w:pPr>
            <w:r w:rsidRPr="007518F8">
              <w:t>Grievance about project interventions</w:t>
            </w:r>
          </w:p>
        </w:tc>
      </w:tr>
      <w:tr w:rsidR="003F36E0" w:rsidRPr="007518F8" w14:paraId="4D50565A" w14:textId="77777777" w:rsidTr="004612F5">
        <w:tc>
          <w:tcPr>
            <w:tcW w:w="360" w:type="dxa"/>
          </w:tcPr>
          <w:p w14:paraId="626856EB" w14:textId="77777777" w:rsidR="003F36E0" w:rsidRPr="007518F8" w:rsidRDefault="003F36E0" w:rsidP="001C6166">
            <w:pPr>
              <w:ind w:left="-284"/>
              <w:jc w:val="center"/>
            </w:pPr>
          </w:p>
        </w:tc>
        <w:tc>
          <w:tcPr>
            <w:tcW w:w="1754" w:type="dxa"/>
            <w:vAlign w:val="bottom"/>
          </w:tcPr>
          <w:p w14:paraId="57DB6EAE" w14:textId="77777777" w:rsidR="003F36E0" w:rsidRPr="007518F8" w:rsidRDefault="003F36E0" w:rsidP="001C6166">
            <w:pPr>
              <w:ind w:left="-284"/>
              <w:jc w:val="center"/>
            </w:pPr>
            <w:r w:rsidRPr="007518F8">
              <w:t>Category 10</w:t>
            </w:r>
          </w:p>
        </w:tc>
        <w:tc>
          <w:tcPr>
            <w:tcW w:w="7876" w:type="dxa"/>
            <w:vAlign w:val="bottom"/>
          </w:tcPr>
          <w:p w14:paraId="1831E5FA" w14:textId="77777777" w:rsidR="003F36E0" w:rsidRPr="007518F8" w:rsidRDefault="003F36E0" w:rsidP="001C6166">
            <w:pPr>
              <w:ind w:left="-284"/>
              <w:jc w:val="center"/>
            </w:pPr>
            <w:r w:rsidRPr="007518F8">
              <w:t>Other</w:t>
            </w:r>
          </w:p>
        </w:tc>
      </w:tr>
    </w:tbl>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3"/>
      </w:tblGrid>
      <w:tr w:rsidR="003F36E0" w:rsidRPr="007518F8" w14:paraId="3852A19D" w14:textId="77777777" w:rsidTr="004612F5">
        <w:trPr>
          <w:trHeight w:val="110"/>
        </w:trPr>
        <w:tc>
          <w:tcPr>
            <w:tcW w:w="10003" w:type="dxa"/>
          </w:tcPr>
          <w:p w14:paraId="550E1433" w14:textId="488EB5D5" w:rsidR="003F36E0" w:rsidRPr="007518F8" w:rsidRDefault="003F36E0" w:rsidP="001C6166">
            <w:pPr>
              <w:ind w:left="-284"/>
              <w:jc w:val="center"/>
              <w:rPr>
                <w:color w:val="000000"/>
              </w:rPr>
            </w:pPr>
            <w:r w:rsidRPr="007518F8">
              <w:rPr>
                <w:color w:val="000000"/>
              </w:rPr>
              <w:t>Who should handle and follow up on the grievance:</w:t>
            </w:r>
          </w:p>
          <w:p w14:paraId="1829D1F4" w14:textId="77777777" w:rsidR="003F36E0" w:rsidRPr="007518F8" w:rsidRDefault="003F36E0" w:rsidP="001C6166">
            <w:pPr>
              <w:ind w:left="-284"/>
              <w:jc w:val="center"/>
              <w:rPr>
                <w:color w:val="000000"/>
              </w:rPr>
            </w:pPr>
          </w:p>
          <w:p w14:paraId="176846EC" w14:textId="77777777" w:rsidR="003F36E0" w:rsidRPr="007518F8" w:rsidRDefault="003F36E0" w:rsidP="001C6166">
            <w:pPr>
              <w:ind w:left="-284"/>
              <w:jc w:val="center"/>
              <w:rPr>
                <w:color w:val="000000"/>
              </w:rPr>
            </w:pPr>
          </w:p>
          <w:p w14:paraId="167597F0" w14:textId="77777777" w:rsidR="003F36E0" w:rsidRPr="007518F8" w:rsidRDefault="003F36E0" w:rsidP="001C6166">
            <w:pPr>
              <w:ind w:left="-284"/>
              <w:jc w:val="center"/>
              <w:rPr>
                <w:color w:val="000000"/>
              </w:rPr>
            </w:pPr>
          </w:p>
        </w:tc>
      </w:tr>
      <w:tr w:rsidR="003F36E0" w:rsidRPr="007518F8" w14:paraId="1C76077E" w14:textId="77777777" w:rsidTr="004612F5">
        <w:trPr>
          <w:trHeight w:val="110"/>
        </w:trPr>
        <w:tc>
          <w:tcPr>
            <w:tcW w:w="10003" w:type="dxa"/>
          </w:tcPr>
          <w:p w14:paraId="550ECC31" w14:textId="25E27E34" w:rsidR="003F36E0" w:rsidRPr="007518F8" w:rsidRDefault="003F36E0" w:rsidP="001C6166">
            <w:pPr>
              <w:ind w:left="-284"/>
              <w:jc w:val="center"/>
              <w:rPr>
                <w:color w:val="000000"/>
              </w:rPr>
            </w:pPr>
            <w:r w:rsidRPr="007518F8">
              <w:rPr>
                <w:color w:val="000000"/>
              </w:rPr>
              <w:t>Progress in resolving the grievance (e.g answered, being resolved, settled):</w:t>
            </w:r>
          </w:p>
          <w:p w14:paraId="33BC4A92" w14:textId="77777777" w:rsidR="003F36E0" w:rsidRPr="007518F8" w:rsidRDefault="003F36E0" w:rsidP="001C6166">
            <w:pPr>
              <w:ind w:left="-284"/>
              <w:jc w:val="center"/>
              <w:rPr>
                <w:color w:val="000000"/>
              </w:rPr>
            </w:pPr>
          </w:p>
          <w:p w14:paraId="5985838D" w14:textId="77777777" w:rsidR="003F36E0" w:rsidRPr="007518F8" w:rsidRDefault="003F36E0" w:rsidP="001C6166">
            <w:pPr>
              <w:ind w:left="-284"/>
              <w:jc w:val="center"/>
              <w:rPr>
                <w:color w:val="000000"/>
              </w:rPr>
            </w:pPr>
          </w:p>
          <w:p w14:paraId="7214A11F" w14:textId="77777777" w:rsidR="003F36E0" w:rsidRPr="007518F8" w:rsidRDefault="003F36E0" w:rsidP="001C6166">
            <w:pPr>
              <w:ind w:left="-284"/>
              <w:jc w:val="center"/>
              <w:rPr>
                <w:color w:val="000000"/>
              </w:rPr>
            </w:pPr>
          </w:p>
        </w:tc>
      </w:tr>
    </w:tbl>
    <w:p w14:paraId="58758C96" w14:textId="77777777" w:rsidR="003F36E0" w:rsidRPr="007518F8" w:rsidRDefault="003F36E0" w:rsidP="000A41D4">
      <w:pPr>
        <w:ind w:left="-284"/>
      </w:pPr>
    </w:p>
    <w:sectPr w:rsidR="003F36E0" w:rsidRPr="007518F8" w:rsidSect="00693335">
      <w:footerReference w:type="default" r:id="rId12"/>
      <w:pgSz w:w="11907" w:h="16839" w:code="9"/>
      <w:pgMar w:top="1418"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CF596" w14:textId="77777777" w:rsidR="00F50ADF" w:rsidRDefault="00F50ADF" w:rsidP="009A10D7">
      <w:pPr>
        <w:spacing w:after="0" w:line="240" w:lineRule="auto"/>
      </w:pPr>
      <w:r>
        <w:separator/>
      </w:r>
    </w:p>
  </w:endnote>
  <w:endnote w:type="continuationSeparator" w:id="0">
    <w:p w14:paraId="206DF75E" w14:textId="77777777" w:rsidR="00F50ADF" w:rsidRDefault="00F50ADF" w:rsidP="009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MT">
    <w:altName w:val="MS Gothic"/>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83845"/>
      <w:docPartObj>
        <w:docPartGallery w:val="Page Numbers (Bottom of Page)"/>
        <w:docPartUnique/>
      </w:docPartObj>
    </w:sdtPr>
    <w:sdtEndPr/>
    <w:sdtContent>
      <w:p w14:paraId="22E1E623" w14:textId="5FAD9E17" w:rsidR="00155CB6" w:rsidRDefault="00155CB6">
        <w:pPr>
          <w:pStyle w:val="af6"/>
          <w:jc w:val="center"/>
        </w:pPr>
        <w:r>
          <w:fldChar w:fldCharType="begin"/>
        </w:r>
        <w:r>
          <w:instrText>PAGE   \* MERGEFORMAT</w:instrText>
        </w:r>
        <w:r>
          <w:fldChar w:fldCharType="separate"/>
        </w:r>
        <w:r>
          <w:rPr>
            <w:lang w:val="uk-UA"/>
          </w:rPr>
          <w:t>2</w:t>
        </w:r>
        <w:r>
          <w:fldChar w:fldCharType="end"/>
        </w:r>
      </w:p>
    </w:sdtContent>
  </w:sdt>
  <w:p w14:paraId="7B34D1A3" w14:textId="77777777" w:rsidR="00155CB6" w:rsidRDefault="00155CB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D0C8E" w14:textId="77777777" w:rsidR="00F50ADF" w:rsidRDefault="00F50ADF" w:rsidP="009A10D7">
      <w:pPr>
        <w:spacing w:after="0" w:line="240" w:lineRule="auto"/>
      </w:pPr>
      <w:r>
        <w:separator/>
      </w:r>
    </w:p>
  </w:footnote>
  <w:footnote w:type="continuationSeparator" w:id="0">
    <w:p w14:paraId="7062510B" w14:textId="77777777" w:rsidR="00F50ADF" w:rsidRDefault="00F50ADF" w:rsidP="009A10D7">
      <w:pPr>
        <w:spacing w:after="0" w:line="240" w:lineRule="auto"/>
      </w:pPr>
      <w:r>
        <w:continuationSeparator/>
      </w:r>
    </w:p>
  </w:footnote>
  <w:footnote w:id="1">
    <w:p w14:paraId="06B6EC43" w14:textId="77777777" w:rsidR="00155CB6" w:rsidRPr="0023296D" w:rsidRDefault="00155CB6" w:rsidP="009A10D7">
      <w:pPr>
        <w:rPr>
          <w:rFonts w:eastAsia="Times New Roman"/>
          <w:sz w:val="18"/>
          <w:szCs w:val="18"/>
          <w:lang w:val="uk-UA"/>
        </w:rPr>
      </w:pPr>
      <w:r w:rsidRPr="00240B91">
        <w:rPr>
          <w:rStyle w:val="a9"/>
        </w:rPr>
        <w:footnoteRef/>
      </w:r>
      <w:r w:rsidRPr="0023296D">
        <w:rPr>
          <w:sz w:val="18"/>
          <w:szCs w:val="18"/>
          <w:lang w:val="uk-UA"/>
        </w:rPr>
        <w:t xml:space="preserve"> </w:t>
      </w:r>
      <w:hyperlink r:id="rId1" w:history="1">
        <w:r w:rsidRPr="00240B91">
          <w:rPr>
            <w:rStyle w:val="a6"/>
            <w:rFonts w:eastAsia="Times New Roman"/>
            <w:sz w:val="18"/>
            <w:szCs w:val="18"/>
          </w:rPr>
          <w:t>https</w:t>
        </w:r>
        <w:r w:rsidRPr="0023296D">
          <w:rPr>
            <w:rStyle w:val="a6"/>
            <w:rFonts w:eastAsia="Times New Roman"/>
            <w:sz w:val="18"/>
            <w:szCs w:val="18"/>
            <w:lang w:val="uk-UA"/>
          </w:rPr>
          <w:t>://</w:t>
        </w:r>
        <w:r w:rsidRPr="00240B91">
          <w:rPr>
            <w:rStyle w:val="a6"/>
            <w:rFonts w:eastAsia="Times New Roman"/>
            <w:sz w:val="18"/>
            <w:szCs w:val="18"/>
          </w:rPr>
          <w:t>zakon</w:t>
        </w:r>
        <w:r w:rsidRPr="0023296D">
          <w:rPr>
            <w:rStyle w:val="a6"/>
            <w:rFonts w:eastAsia="Times New Roman"/>
            <w:sz w:val="18"/>
            <w:szCs w:val="18"/>
            <w:lang w:val="uk-UA"/>
          </w:rPr>
          <w:t>.</w:t>
        </w:r>
        <w:r w:rsidRPr="00240B91">
          <w:rPr>
            <w:rStyle w:val="a6"/>
            <w:rFonts w:eastAsia="Times New Roman"/>
            <w:sz w:val="18"/>
            <w:szCs w:val="18"/>
          </w:rPr>
          <w:t>rada</w:t>
        </w:r>
        <w:r w:rsidRPr="0023296D">
          <w:rPr>
            <w:rStyle w:val="a6"/>
            <w:rFonts w:eastAsia="Times New Roman"/>
            <w:sz w:val="18"/>
            <w:szCs w:val="18"/>
            <w:lang w:val="uk-UA"/>
          </w:rPr>
          <w:t>.</w:t>
        </w:r>
        <w:r w:rsidRPr="00240B91">
          <w:rPr>
            <w:rStyle w:val="a6"/>
            <w:rFonts w:eastAsia="Times New Roman"/>
            <w:sz w:val="18"/>
            <w:szCs w:val="18"/>
          </w:rPr>
          <w:t>gov</w:t>
        </w:r>
        <w:r w:rsidRPr="0023296D">
          <w:rPr>
            <w:rStyle w:val="a6"/>
            <w:rFonts w:eastAsia="Times New Roman"/>
            <w:sz w:val="18"/>
            <w:szCs w:val="18"/>
            <w:lang w:val="uk-UA"/>
          </w:rPr>
          <w:t>.</w:t>
        </w:r>
        <w:r w:rsidRPr="00240B91">
          <w:rPr>
            <w:rStyle w:val="a6"/>
            <w:rFonts w:eastAsia="Times New Roman"/>
            <w:sz w:val="18"/>
            <w:szCs w:val="18"/>
          </w:rPr>
          <w:t>ua</w:t>
        </w:r>
        <w:r w:rsidRPr="0023296D">
          <w:rPr>
            <w:rStyle w:val="a6"/>
            <w:rFonts w:eastAsia="Times New Roman"/>
            <w:sz w:val="18"/>
            <w:szCs w:val="18"/>
            <w:lang w:val="uk-UA"/>
          </w:rPr>
          <w:t>/</w:t>
        </w:r>
        <w:r w:rsidRPr="00240B91">
          <w:rPr>
            <w:rStyle w:val="a6"/>
            <w:rFonts w:eastAsia="Times New Roman"/>
            <w:sz w:val="18"/>
            <w:szCs w:val="18"/>
          </w:rPr>
          <w:t>laws</w:t>
        </w:r>
        <w:r w:rsidRPr="0023296D">
          <w:rPr>
            <w:rStyle w:val="a6"/>
            <w:rFonts w:eastAsia="Times New Roman"/>
            <w:sz w:val="18"/>
            <w:szCs w:val="18"/>
            <w:lang w:val="uk-UA"/>
          </w:rPr>
          <w:t>/</w:t>
        </w:r>
        <w:r w:rsidRPr="00240B91">
          <w:rPr>
            <w:rStyle w:val="a6"/>
            <w:rFonts w:eastAsia="Times New Roman"/>
            <w:sz w:val="18"/>
            <w:szCs w:val="18"/>
          </w:rPr>
          <w:t>show</w:t>
        </w:r>
        <w:r w:rsidRPr="0023296D">
          <w:rPr>
            <w:rStyle w:val="a6"/>
            <w:rFonts w:eastAsia="Times New Roman"/>
            <w:sz w:val="18"/>
            <w:szCs w:val="18"/>
            <w:lang w:val="uk-UA"/>
          </w:rPr>
          <w:t>/254%</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BA</w:t>
        </w:r>
        <w:r w:rsidRPr="0023296D">
          <w:rPr>
            <w:rStyle w:val="a6"/>
            <w:rFonts w:eastAsia="Times New Roman"/>
            <w:sz w:val="18"/>
            <w:szCs w:val="18"/>
            <w:lang w:val="uk-UA"/>
          </w:rPr>
          <w:t>/96-%</w:t>
        </w:r>
        <w:r w:rsidRPr="00240B91">
          <w:rPr>
            <w:rStyle w:val="a6"/>
            <w:rFonts w:eastAsia="Times New Roman"/>
            <w:sz w:val="18"/>
            <w:szCs w:val="18"/>
          </w:rPr>
          <w:t>D</w:t>
        </w:r>
        <w:r w:rsidRPr="0023296D">
          <w:rPr>
            <w:rStyle w:val="a6"/>
            <w:rFonts w:eastAsia="Times New Roman"/>
            <w:sz w:val="18"/>
            <w:szCs w:val="18"/>
            <w:lang w:val="uk-UA"/>
          </w:rPr>
          <w:t>0%</w:t>
        </w:r>
        <w:r w:rsidRPr="00240B91">
          <w:rPr>
            <w:rStyle w:val="a6"/>
            <w:rFonts w:eastAsia="Times New Roman"/>
            <w:sz w:val="18"/>
            <w:szCs w:val="18"/>
          </w:rPr>
          <w:t>B</w:t>
        </w:r>
        <w:r w:rsidRPr="0023296D">
          <w:rPr>
            <w:rStyle w:val="a6"/>
            <w:rFonts w:eastAsia="Times New Roman"/>
            <w:sz w:val="18"/>
            <w:szCs w:val="18"/>
            <w:lang w:val="uk-UA"/>
          </w:rPr>
          <w:t>2%</w:t>
        </w:r>
        <w:r w:rsidRPr="00240B91">
          <w:rPr>
            <w:rStyle w:val="a6"/>
            <w:rFonts w:eastAsia="Times New Roman"/>
            <w:sz w:val="18"/>
            <w:szCs w:val="18"/>
          </w:rPr>
          <w:t>D</w:t>
        </w:r>
        <w:r w:rsidRPr="0023296D">
          <w:rPr>
            <w:rStyle w:val="a6"/>
            <w:rFonts w:eastAsia="Times New Roman"/>
            <w:sz w:val="18"/>
            <w:szCs w:val="18"/>
            <w:lang w:val="uk-UA"/>
          </w:rPr>
          <w:t>1%80</w:t>
        </w:r>
      </w:hyperlink>
      <w:r w:rsidRPr="0023296D">
        <w:rPr>
          <w:rFonts w:eastAsia="Times New Roman"/>
          <w:sz w:val="18"/>
          <w:szCs w:val="18"/>
          <w:lang w:val="uk-UA"/>
        </w:rPr>
        <w:t>.</w:t>
      </w:r>
    </w:p>
  </w:footnote>
  <w:footnote w:id="2">
    <w:p w14:paraId="329277B8" w14:textId="77777777" w:rsidR="00155CB6" w:rsidRPr="00240B91" w:rsidRDefault="00155CB6" w:rsidP="009A10D7">
      <w:pPr>
        <w:pStyle w:val="Pa0"/>
        <w:rPr>
          <w:rFonts w:asciiTheme="minorHAnsi" w:hAnsiTheme="minorHAnsi" w:cs="Calibri Light"/>
          <w:color w:val="000000"/>
          <w:sz w:val="18"/>
          <w:szCs w:val="18"/>
        </w:rPr>
      </w:pPr>
      <w:r w:rsidRPr="00240B91">
        <w:rPr>
          <w:rStyle w:val="a9"/>
          <w:rFonts w:asciiTheme="minorHAnsi" w:hAnsiTheme="minorHAnsi"/>
        </w:rPr>
        <w:footnoteRef/>
      </w:r>
      <w:r w:rsidRPr="00240B91">
        <w:rPr>
          <w:rFonts w:asciiTheme="minorHAnsi" w:hAnsiTheme="minorHAnsi"/>
          <w:sz w:val="18"/>
          <w:szCs w:val="18"/>
        </w:rPr>
        <w:t xml:space="preserve"> </w:t>
      </w:r>
      <w:r w:rsidRPr="00240B91">
        <w:rPr>
          <w:rStyle w:val="A00"/>
          <w:rFonts w:asciiTheme="minorHAnsi" w:hAnsiTheme="minorHAnsi"/>
        </w:rPr>
        <w:t>http://zakon2.rada.gov.ua/laws/show/996-2010- %D0%BF/print1390316109400037.</w:t>
      </w:r>
    </w:p>
    <w:p w14:paraId="38079C38" w14:textId="77777777" w:rsidR="00155CB6" w:rsidRPr="000C796E" w:rsidRDefault="00155CB6" w:rsidP="009A10D7">
      <w:pPr>
        <w:pStyle w:val="a7"/>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34A"/>
    <w:multiLevelType w:val="multilevel"/>
    <w:tmpl w:val="694E57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3D2457"/>
    <w:multiLevelType w:val="hybridMultilevel"/>
    <w:tmpl w:val="F77E4C68"/>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D93918"/>
    <w:multiLevelType w:val="hybridMultilevel"/>
    <w:tmpl w:val="02D62EF2"/>
    <w:lvl w:ilvl="0" w:tplc="98FA28BA">
      <w:start w:val="1"/>
      <w:numFmt w:val="bullet"/>
      <w:lvlText w:val=""/>
      <w:lvlJc w:val="left"/>
      <w:pPr>
        <w:ind w:left="720" w:hanging="360"/>
      </w:pPr>
      <w:rPr>
        <w:rFonts w:ascii="Symbol" w:hAnsi="Symbol" w:hint="default"/>
      </w:rPr>
    </w:lvl>
    <w:lvl w:ilvl="1" w:tplc="D79CF684">
      <w:start w:val="1"/>
      <w:numFmt w:val="bullet"/>
      <w:lvlText w:val="o"/>
      <w:lvlJc w:val="left"/>
      <w:pPr>
        <w:ind w:left="1440" w:hanging="360"/>
      </w:pPr>
      <w:rPr>
        <w:rFonts w:ascii="Courier New" w:hAnsi="Courier New" w:cs="Courier New" w:hint="default"/>
      </w:rPr>
    </w:lvl>
    <w:lvl w:ilvl="2" w:tplc="B8E471D8">
      <w:start w:val="1"/>
      <w:numFmt w:val="bullet"/>
      <w:lvlText w:val=""/>
      <w:lvlJc w:val="left"/>
      <w:pPr>
        <w:ind w:left="2160" w:hanging="360"/>
      </w:pPr>
      <w:rPr>
        <w:rFonts w:ascii="Wingdings" w:hAnsi="Wingdings" w:hint="default"/>
      </w:rPr>
    </w:lvl>
    <w:lvl w:ilvl="3" w:tplc="F4749258">
      <w:start w:val="1"/>
      <w:numFmt w:val="bullet"/>
      <w:lvlText w:val=""/>
      <w:lvlJc w:val="left"/>
      <w:pPr>
        <w:ind w:left="2880" w:hanging="360"/>
      </w:pPr>
      <w:rPr>
        <w:rFonts w:ascii="Symbol" w:hAnsi="Symbol" w:hint="default"/>
      </w:rPr>
    </w:lvl>
    <w:lvl w:ilvl="4" w:tplc="E09407FA">
      <w:start w:val="1"/>
      <w:numFmt w:val="bullet"/>
      <w:lvlText w:val="o"/>
      <w:lvlJc w:val="left"/>
      <w:pPr>
        <w:ind w:left="3600" w:hanging="360"/>
      </w:pPr>
      <w:rPr>
        <w:rFonts w:ascii="Courier New" w:hAnsi="Courier New" w:cs="Courier New" w:hint="default"/>
      </w:rPr>
    </w:lvl>
    <w:lvl w:ilvl="5" w:tplc="5FFA5EBC">
      <w:start w:val="1"/>
      <w:numFmt w:val="bullet"/>
      <w:lvlText w:val=""/>
      <w:lvlJc w:val="left"/>
      <w:pPr>
        <w:ind w:left="4320" w:hanging="360"/>
      </w:pPr>
      <w:rPr>
        <w:rFonts w:ascii="Wingdings" w:hAnsi="Wingdings" w:hint="default"/>
      </w:rPr>
    </w:lvl>
    <w:lvl w:ilvl="6" w:tplc="A5AEA6E0">
      <w:start w:val="1"/>
      <w:numFmt w:val="bullet"/>
      <w:lvlText w:val=""/>
      <w:lvlJc w:val="left"/>
      <w:pPr>
        <w:ind w:left="5040" w:hanging="360"/>
      </w:pPr>
      <w:rPr>
        <w:rFonts w:ascii="Symbol" w:hAnsi="Symbol" w:hint="default"/>
      </w:rPr>
    </w:lvl>
    <w:lvl w:ilvl="7" w:tplc="59C4389C">
      <w:start w:val="1"/>
      <w:numFmt w:val="bullet"/>
      <w:lvlText w:val="o"/>
      <w:lvlJc w:val="left"/>
      <w:pPr>
        <w:ind w:left="5760" w:hanging="360"/>
      </w:pPr>
      <w:rPr>
        <w:rFonts w:ascii="Courier New" w:hAnsi="Courier New" w:cs="Courier New" w:hint="default"/>
      </w:rPr>
    </w:lvl>
    <w:lvl w:ilvl="8" w:tplc="0F7A0C5C">
      <w:start w:val="1"/>
      <w:numFmt w:val="bullet"/>
      <w:lvlText w:val=""/>
      <w:lvlJc w:val="left"/>
      <w:pPr>
        <w:ind w:left="6480" w:hanging="360"/>
      </w:pPr>
      <w:rPr>
        <w:rFonts w:ascii="Wingdings" w:hAnsi="Wingdings" w:hint="default"/>
      </w:rPr>
    </w:lvl>
  </w:abstractNum>
  <w:abstractNum w:abstractNumId="4" w15:restartNumberingAfterBreak="0">
    <w:nsid w:val="3F1660DD"/>
    <w:multiLevelType w:val="hybridMultilevel"/>
    <w:tmpl w:val="85EC2FAA"/>
    <w:lvl w:ilvl="0" w:tplc="A7807084">
      <w:start w:val="1"/>
      <w:numFmt w:val="bullet"/>
      <w:lvlText w:val=""/>
      <w:lvlJc w:val="left"/>
      <w:pPr>
        <w:ind w:left="720" w:hanging="360"/>
      </w:pPr>
      <w:rPr>
        <w:rFonts w:ascii="Symbol" w:hAnsi="Symbol" w:hint="default"/>
      </w:rPr>
    </w:lvl>
    <w:lvl w:ilvl="1" w:tplc="1C1E2732" w:tentative="1">
      <w:start w:val="1"/>
      <w:numFmt w:val="bullet"/>
      <w:lvlText w:val="o"/>
      <w:lvlJc w:val="left"/>
      <w:pPr>
        <w:ind w:left="1440" w:hanging="360"/>
      </w:pPr>
      <w:rPr>
        <w:rFonts w:ascii="Courier New" w:hAnsi="Courier New" w:cs="Courier New" w:hint="default"/>
      </w:rPr>
    </w:lvl>
    <w:lvl w:ilvl="2" w:tplc="0C465EBC" w:tentative="1">
      <w:start w:val="1"/>
      <w:numFmt w:val="bullet"/>
      <w:lvlText w:val=""/>
      <w:lvlJc w:val="left"/>
      <w:pPr>
        <w:ind w:left="2160" w:hanging="360"/>
      </w:pPr>
      <w:rPr>
        <w:rFonts w:ascii="Wingdings" w:hAnsi="Wingdings" w:hint="default"/>
      </w:rPr>
    </w:lvl>
    <w:lvl w:ilvl="3" w:tplc="AE880FD4" w:tentative="1">
      <w:start w:val="1"/>
      <w:numFmt w:val="bullet"/>
      <w:lvlText w:val=""/>
      <w:lvlJc w:val="left"/>
      <w:pPr>
        <w:ind w:left="2880" w:hanging="360"/>
      </w:pPr>
      <w:rPr>
        <w:rFonts w:ascii="Symbol" w:hAnsi="Symbol" w:hint="default"/>
      </w:rPr>
    </w:lvl>
    <w:lvl w:ilvl="4" w:tplc="8DC8AED0" w:tentative="1">
      <w:start w:val="1"/>
      <w:numFmt w:val="bullet"/>
      <w:lvlText w:val="o"/>
      <w:lvlJc w:val="left"/>
      <w:pPr>
        <w:ind w:left="3600" w:hanging="360"/>
      </w:pPr>
      <w:rPr>
        <w:rFonts w:ascii="Courier New" w:hAnsi="Courier New" w:cs="Courier New" w:hint="default"/>
      </w:rPr>
    </w:lvl>
    <w:lvl w:ilvl="5" w:tplc="F236A300" w:tentative="1">
      <w:start w:val="1"/>
      <w:numFmt w:val="bullet"/>
      <w:lvlText w:val=""/>
      <w:lvlJc w:val="left"/>
      <w:pPr>
        <w:ind w:left="4320" w:hanging="360"/>
      </w:pPr>
      <w:rPr>
        <w:rFonts w:ascii="Wingdings" w:hAnsi="Wingdings" w:hint="default"/>
      </w:rPr>
    </w:lvl>
    <w:lvl w:ilvl="6" w:tplc="CFF6BB30" w:tentative="1">
      <w:start w:val="1"/>
      <w:numFmt w:val="bullet"/>
      <w:lvlText w:val=""/>
      <w:lvlJc w:val="left"/>
      <w:pPr>
        <w:ind w:left="5040" w:hanging="360"/>
      </w:pPr>
      <w:rPr>
        <w:rFonts w:ascii="Symbol" w:hAnsi="Symbol" w:hint="default"/>
      </w:rPr>
    </w:lvl>
    <w:lvl w:ilvl="7" w:tplc="B5DAD9D0" w:tentative="1">
      <w:start w:val="1"/>
      <w:numFmt w:val="bullet"/>
      <w:lvlText w:val="o"/>
      <w:lvlJc w:val="left"/>
      <w:pPr>
        <w:ind w:left="5760" w:hanging="360"/>
      </w:pPr>
      <w:rPr>
        <w:rFonts w:ascii="Courier New" w:hAnsi="Courier New" w:cs="Courier New" w:hint="default"/>
      </w:rPr>
    </w:lvl>
    <w:lvl w:ilvl="8" w:tplc="81287C36" w:tentative="1">
      <w:start w:val="1"/>
      <w:numFmt w:val="bullet"/>
      <w:lvlText w:val=""/>
      <w:lvlJc w:val="left"/>
      <w:pPr>
        <w:ind w:left="6480" w:hanging="360"/>
      </w:pPr>
      <w:rPr>
        <w:rFonts w:ascii="Wingdings" w:hAnsi="Wingdings" w:hint="default"/>
      </w:rPr>
    </w:lvl>
  </w:abstractNum>
  <w:abstractNum w:abstractNumId="5" w15:restartNumberingAfterBreak="0">
    <w:nsid w:val="415D58CE"/>
    <w:multiLevelType w:val="hybridMultilevel"/>
    <w:tmpl w:val="6428DAFE"/>
    <w:lvl w:ilvl="0" w:tplc="D08AF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83B6C"/>
    <w:multiLevelType w:val="hybridMultilevel"/>
    <w:tmpl w:val="478082EA"/>
    <w:lvl w:ilvl="0" w:tplc="D806D8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07194D"/>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8"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8C15C1"/>
    <w:multiLevelType w:val="hybridMultilevel"/>
    <w:tmpl w:val="C4520B9C"/>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1B5190"/>
    <w:multiLevelType w:val="hybridMultilevel"/>
    <w:tmpl w:val="8F120A6A"/>
    <w:lvl w:ilvl="0" w:tplc="0422000F">
      <w:start w:val="1"/>
      <w:numFmt w:val="decimal"/>
      <w:lvlText w:val="%1."/>
      <w:lvlJc w:val="left"/>
      <w:pPr>
        <w:ind w:left="618" w:hanging="360"/>
      </w:pPr>
    </w:lvl>
    <w:lvl w:ilvl="1" w:tplc="04220019" w:tentative="1">
      <w:start w:val="1"/>
      <w:numFmt w:val="lowerLetter"/>
      <w:lvlText w:val="%2."/>
      <w:lvlJc w:val="left"/>
      <w:pPr>
        <w:ind w:left="1338" w:hanging="360"/>
      </w:pPr>
    </w:lvl>
    <w:lvl w:ilvl="2" w:tplc="0422001B" w:tentative="1">
      <w:start w:val="1"/>
      <w:numFmt w:val="lowerRoman"/>
      <w:lvlText w:val="%3."/>
      <w:lvlJc w:val="right"/>
      <w:pPr>
        <w:ind w:left="2058" w:hanging="180"/>
      </w:pPr>
    </w:lvl>
    <w:lvl w:ilvl="3" w:tplc="0422000F" w:tentative="1">
      <w:start w:val="1"/>
      <w:numFmt w:val="decimal"/>
      <w:lvlText w:val="%4."/>
      <w:lvlJc w:val="left"/>
      <w:pPr>
        <w:ind w:left="2778" w:hanging="360"/>
      </w:pPr>
    </w:lvl>
    <w:lvl w:ilvl="4" w:tplc="04220019" w:tentative="1">
      <w:start w:val="1"/>
      <w:numFmt w:val="lowerLetter"/>
      <w:lvlText w:val="%5."/>
      <w:lvlJc w:val="left"/>
      <w:pPr>
        <w:ind w:left="3498" w:hanging="360"/>
      </w:pPr>
    </w:lvl>
    <w:lvl w:ilvl="5" w:tplc="0422001B" w:tentative="1">
      <w:start w:val="1"/>
      <w:numFmt w:val="lowerRoman"/>
      <w:lvlText w:val="%6."/>
      <w:lvlJc w:val="right"/>
      <w:pPr>
        <w:ind w:left="4218" w:hanging="180"/>
      </w:pPr>
    </w:lvl>
    <w:lvl w:ilvl="6" w:tplc="0422000F" w:tentative="1">
      <w:start w:val="1"/>
      <w:numFmt w:val="decimal"/>
      <w:lvlText w:val="%7."/>
      <w:lvlJc w:val="left"/>
      <w:pPr>
        <w:ind w:left="4938" w:hanging="360"/>
      </w:pPr>
    </w:lvl>
    <w:lvl w:ilvl="7" w:tplc="04220019" w:tentative="1">
      <w:start w:val="1"/>
      <w:numFmt w:val="lowerLetter"/>
      <w:lvlText w:val="%8."/>
      <w:lvlJc w:val="left"/>
      <w:pPr>
        <w:ind w:left="5658" w:hanging="360"/>
      </w:pPr>
    </w:lvl>
    <w:lvl w:ilvl="8" w:tplc="0422001B" w:tentative="1">
      <w:start w:val="1"/>
      <w:numFmt w:val="lowerRoman"/>
      <w:lvlText w:val="%9."/>
      <w:lvlJc w:val="right"/>
      <w:pPr>
        <w:ind w:left="6378" w:hanging="180"/>
      </w:pPr>
    </w:lvl>
  </w:abstractNum>
  <w:abstractNum w:abstractNumId="12"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2FF7B98"/>
    <w:multiLevelType w:val="hybridMultilevel"/>
    <w:tmpl w:val="87868096"/>
    <w:lvl w:ilvl="0" w:tplc="65306198">
      <w:start w:val="1"/>
      <w:numFmt w:val="bullet"/>
      <w:lvlText w:val=""/>
      <w:lvlJc w:val="left"/>
      <w:pPr>
        <w:ind w:left="720" w:hanging="360"/>
      </w:pPr>
      <w:rPr>
        <w:rFonts w:ascii="Symbol" w:hAnsi="Symbol" w:hint="default"/>
      </w:rPr>
    </w:lvl>
    <w:lvl w:ilvl="1" w:tplc="5F7A3A8E" w:tentative="1">
      <w:start w:val="1"/>
      <w:numFmt w:val="bullet"/>
      <w:lvlText w:val="o"/>
      <w:lvlJc w:val="left"/>
      <w:pPr>
        <w:ind w:left="1440" w:hanging="360"/>
      </w:pPr>
      <w:rPr>
        <w:rFonts w:ascii="Courier New" w:hAnsi="Courier New" w:cs="Courier New" w:hint="default"/>
      </w:rPr>
    </w:lvl>
    <w:lvl w:ilvl="2" w:tplc="D256CF7E" w:tentative="1">
      <w:start w:val="1"/>
      <w:numFmt w:val="bullet"/>
      <w:lvlText w:val=""/>
      <w:lvlJc w:val="left"/>
      <w:pPr>
        <w:ind w:left="2160" w:hanging="360"/>
      </w:pPr>
      <w:rPr>
        <w:rFonts w:ascii="Wingdings" w:hAnsi="Wingdings" w:hint="default"/>
      </w:rPr>
    </w:lvl>
    <w:lvl w:ilvl="3" w:tplc="8B3AD654" w:tentative="1">
      <w:start w:val="1"/>
      <w:numFmt w:val="bullet"/>
      <w:lvlText w:val=""/>
      <w:lvlJc w:val="left"/>
      <w:pPr>
        <w:ind w:left="2880" w:hanging="360"/>
      </w:pPr>
      <w:rPr>
        <w:rFonts w:ascii="Symbol" w:hAnsi="Symbol" w:hint="default"/>
      </w:rPr>
    </w:lvl>
    <w:lvl w:ilvl="4" w:tplc="D2D4BFD4" w:tentative="1">
      <w:start w:val="1"/>
      <w:numFmt w:val="bullet"/>
      <w:lvlText w:val="o"/>
      <w:lvlJc w:val="left"/>
      <w:pPr>
        <w:ind w:left="3600" w:hanging="360"/>
      </w:pPr>
      <w:rPr>
        <w:rFonts w:ascii="Courier New" w:hAnsi="Courier New" w:cs="Courier New" w:hint="default"/>
      </w:rPr>
    </w:lvl>
    <w:lvl w:ilvl="5" w:tplc="B2C0F29A" w:tentative="1">
      <w:start w:val="1"/>
      <w:numFmt w:val="bullet"/>
      <w:lvlText w:val=""/>
      <w:lvlJc w:val="left"/>
      <w:pPr>
        <w:ind w:left="4320" w:hanging="360"/>
      </w:pPr>
      <w:rPr>
        <w:rFonts w:ascii="Wingdings" w:hAnsi="Wingdings" w:hint="default"/>
      </w:rPr>
    </w:lvl>
    <w:lvl w:ilvl="6" w:tplc="9814DB6A" w:tentative="1">
      <w:start w:val="1"/>
      <w:numFmt w:val="bullet"/>
      <w:lvlText w:val=""/>
      <w:lvlJc w:val="left"/>
      <w:pPr>
        <w:ind w:left="5040" w:hanging="360"/>
      </w:pPr>
      <w:rPr>
        <w:rFonts w:ascii="Symbol" w:hAnsi="Symbol" w:hint="default"/>
      </w:rPr>
    </w:lvl>
    <w:lvl w:ilvl="7" w:tplc="10922AC6" w:tentative="1">
      <w:start w:val="1"/>
      <w:numFmt w:val="bullet"/>
      <w:lvlText w:val="o"/>
      <w:lvlJc w:val="left"/>
      <w:pPr>
        <w:ind w:left="5760" w:hanging="360"/>
      </w:pPr>
      <w:rPr>
        <w:rFonts w:ascii="Courier New" w:hAnsi="Courier New" w:cs="Courier New" w:hint="default"/>
      </w:rPr>
    </w:lvl>
    <w:lvl w:ilvl="8" w:tplc="6E701AF6" w:tentative="1">
      <w:start w:val="1"/>
      <w:numFmt w:val="bullet"/>
      <w:lvlText w:val=""/>
      <w:lvlJc w:val="left"/>
      <w:pPr>
        <w:ind w:left="6480" w:hanging="360"/>
      </w:pPr>
      <w:rPr>
        <w:rFonts w:ascii="Wingdings" w:hAnsi="Wingdings" w:hint="default"/>
      </w:rPr>
    </w:lvl>
  </w:abstractNum>
  <w:abstractNum w:abstractNumId="14" w15:restartNumberingAfterBreak="0">
    <w:nsid w:val="7BC04B68"/>
    <w:multiLevelType w:val="hybridMultilevel"/>
    <w:tmpl w:val="2CF408B4"/>
    <w:lvl w:ilvl="0" w:tplc="7DE64820">
      <w:start w:val="1"/>
      <w:numFmt w:val="bullet"/>
      <w:lvlText w:val=""/>
      <w:lvlJc w:val="left"/>
      <w:pPr>
        <w:ind w:left="720" w:hanging="360"/>
      </w:pPr>
      <w:rPr>
        <w:rFonts w:ascii="Symbol" w:hAnsi="Symbol" w:hint="default"/>
      </w:rPr>
    </w:lvl>
    <w:lvl w:ilvl="1" w:tplc="51CA287C">
      <w:start w:val="1"/>
      <w:numFmt w:val="bullet"/>
      <w:lvlText w:val="o"/>
      <w:lvlJc w:val="left"/>
      <w:pPr>
        <w:ind w:left="1440" w:hanging="360"/>
      </w:pPr>
      <w:rPr>
        <w:rFonts w:ascii="Courier New" w:hAnsi="Courier New" w:cs="Courier New" w:hint="default"/>
      </w:rPr>
    </w:lvl>
    <w:lvl w:ilvl="2" w:tplc="7AF81134">
      <w:start w:val="1"/>
      <w:numFmt w:val="bullet"/>
      <w:lvlText w:val=""/>
      <w:lvlJc w:val="left"/>
      <w:pPr>
        <w:ind w:left="2160" w:hanging="360"/>
      </w:pPr>
      <w:rPr>
        <w:rFonts w:ascii="Wingdings" w:hAnsi="Wingdings" w:hint="default"/>
      </w:rPr>
    </w:lvl>
    <w:lvl w:ilvl="3" w:tplc="33F0C962">
      <w:start w:val="1"/>
      <w:numFmt w:val="bullet"/>
      <w:lvlText w:val=""/>
      <w:lvlJc w:val="left"/>
      <w:pPr>
        <w:ind w:left="2880" w:hanging="360"/>
      </w:pPr>
      <w:rPr>
        <w:rFonts w:ascii="Symbol" w:hAnsi="Symbol" w:hint="default"/>
      </w:rPr>
    </w:lvl>
    <w:lvl w:ilvl="4" w:tplc="568ED866">
      <w:start w:val="1"/>
      <w:numFmt w:val="bullet"/>
      <w:lvlText w:val="o"/>
      <w:lvlJc w:val="left"/>
      <w:pPr>
        <w:ind w:left="3600" w:hanging="360"/>
      </w:pPr>
      <w:rPr>
        <w:rFonts w:ascii="Courier New" w:hAnsi="Courier New" w:cs="Courier New" w:hint="default"/>
      </w:rPr>
    </w:lvl>
    <w:lvl w:ilvl="5" w:tplc="4BAA2C8A">
      <w:start w:val="1"/>
      <w:numFmt w:val="bullet"/>
      <w:lvlText w:val=""/>
      <w:lvlJc w:val="left"/>
      <w:pPr>
        <w:ind w:left="4320" w:hanging="360"/>
      </w:pPr>
      <w:rPr>
        <w:rFonts w:ascii="Wingdings" w:hAnsi="Wingdings" w:hint="default"/>
      </w:rPr>
    </w:lvl>
    <w:lvl w:ilvl="6" w:tplc="FDB4AF60">
      <w:start w:val="1"/>
      <w:numFmt w:val="bullet"/>
      <w:lvlText w:val=""/>
      <w:lvlJc w:val="left"/>
      <w:pPr>
        <w:ind w:left="5040" w:hanging="360"/>
      </w:pPr>
      <w:rPr>
        <w:rFonts w:ascii="Symbol" w:hAnsi="Symbol" w:hint="default"/>
      </w:rPr>
    </w:lvl>
    <w:lvl w:ilvl="7" w:tplc="83607CA6">
      <w:start w:val="1"/>
      <w:numFmt w:val="bullet"/>
      <w:lvlText w:val="o"/>
      <w:lvlJc w:val="left"/>
      <w:pPr>
        <w:ind w:left="5760" w:hanging="360"/>
      </w:pPr>
      <w:rPr>
        <w:rFonts w:ascii="Courier New" w:hAnsi="Courier New" w:cs="Courier New" w:hint="default"/>
      </w:rPr>
    </w:lvl>
    <w:lvl w:ilvl="8" w:tplc="7CCE839C">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6"/>
  </w:num>
  <w:num w:numId="5">
    <w:abstractNumId w:val="9"/>
  </w:num>
  <w:num w:numId="6">
    <w:abstractNumId w:val="8"/>
  </w:num>
  <w:num w:numId="7">
    <w:abstractNumId w:val="2"/>
  </w:num>
  <w:num w:numId="8">
    <w:abstractNumId w:val="0"/>
  </w:num>
  <w:num w:numId="9">
    <w:abstractNumId w:val="7"/>
  </w:num>
  <w:num w:numId="10">
    <w:abstractNumId w:val="11"/>
  </w:num>
  <w:num w:numId="11">
    <w:abstractNumId w:val="4"/>
  </w:num>
  <w:num w:numId="12">
    <w:abstractNumId w:val="13"/>
  </w:num>
  <w:num w:numId="13">
    <w:abstractNumId w:val="14"/>
  </w:num>
  <w:num w:numId="14">
    <w:abstractNumId w:val="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84"/>
    <w:rsid w:val="00001AB6"/>
    <w:rsid w:val="00007638"/>
    <w:rsid w:val="00007F9F"/>
    <w:rsid w:val="00013012"/>
    <w:rsid w:val="000267C2"/>
    <w:rsid w:val="000351E5"/>
    <w:rsid w:val="0003705B"/>
    <w:rsid w:val="00054704"/>
    <w:rsid w:val="00061A30"/>
    <w:rsid w:val="0006604E"/>
    <w:rsid w:val="00067A31"/>
    <w:rsid w:val="00074E8D"/>
    <w:rsid w:val="0007610C"/>
    <w:rsid w:val="000762F8"/>
    <w:rsid w:val="0008429A"/>
    <w:rsid w:val="0009786D"/>
    <w:rsid w:val="000A2DAF"/>
    <w:rsid w:val="000A41D4"/>
    <w:rsid w:val="000C1274"/>
    <w:rsid w:val="000C60F8"/>
    <w:rsid w:val="000C6643"/>
    <w:rsid w:val="000D5C42"/>
    <w:rsid w:val="000E4046"/>
    <w:rsid w:val="000E6B2C"/>
    <w:rsid w:val="000E6F16"/>
    <w:rsid w:val="000F7AAD"/>
    <w:rsid w:val="001025A3"/>
    <w:rsid w:val="001142B3"/>
    <w:rsid w:val="001169A8"/>
    <w:rsid w:val="0012145C"/>
    <w:rsid w:val="001217EA"/>
    <w:rsid w:val="00123E93"/>
    <w:rsid w:val="00123FFE"/>
    <w:rsid w:val="00127C4A"/>
    <w:rsid w:val="001311D6"/>
    <w:rsid w:val="00155CB6"/>
    <w:rsid w:val="0016300F"/>
    <w:rsid w:val="001647F6"/>
    <w:rsid w:val="00170433"/>
    <w:rsid w:val="00174609"/>
    <w:rsid w:val="00176C98"/>
    <w:rsid w:val="00184A2A"/>
    <w:rsid w:val="001877AF"/>
    <w:rsid w:val="001A64CD"/>
    <w:rsid w:val="001A75DD"/>
    <w:rsid w:val="001B55B4"/>
    <w:rsid w:val="001C0B1C"/>
    <w:rsid w:val="001C304E"/>
    <w:rsid w:val="001C6166"/>
    <w:rsid w:val="001D207A"/>
    <w:rsid w:val="001D2758"/>
    <w:rsid w:val="001D5E12"/>
    <w:rsid w:val="001E2311"/>
    <w:rsid w:val="001E7EA7"/>
    <w:rsid w:val="00203885"/>
    <w:rsid w:val="00211B87"/>
    <w:rsid w:val="00212AB3"/>
    <w:rsid w:val="00226C45"/>
    <w:rsid w:val="0023296D"/>
    <w:rsid w:val="00233A2A"/>
    <w:rsid w:val="002348F0"/>
    <w:rsid w:val="00250531"/>
    <w:rsid w:val="00250771"/>
    <w:rsid w:val="00251930"/>
    <w:rsid w:val="002534A9"/>
    <w:rsid w:val="00260377"/>
    <w:rsid w:val="0026073E"/>
    <w:rsid w:val="002716B4"/>
    <w:rsid w:val="00291D55"/>
    <w:rsid w:val="00293030"/>
    <w:rsid w:val="00294766"/>
    <w:rsid w:val="00297CE6"/>
    <w:rsid w:val="002A4F63"/>
    <w:rsid w:val="002B6112"/>
    <w:rsid w:val="002E1DB7"/>
    <w:rsid w:val="002E1F81"/>
    <w:rsid w:val="002F221F"/>
    <w:rsid w:val="002F2399"/>
    <w:rsid w:val="00306236"/>
    <w:rsid w:val="00306A57"/>
    <w:rsid w:val="00310664"/>
    <w:rsid w:val="00314158"/>
    <w:rsid w:val="003149CD"/>
    <w:rsid w:val="00316EEC"/>
    <w:rsid w:val="003252FF"/>
    <w:rsid w:val="00346771"/>
    <w:rsid w:val="00347D3D"/>
    <w:rsid w:val="00354C2E"/>
    <w:rsid w:val="00354DE6"/>
    <w:rsid w:val="003578B0"/>
    <w:rsid w:val="00361153"/>
    <w:rsid w:val="00361D50"/>
    <w:rsid w:val="003675B2"/>
    <w:rsid w:val="0038732B"/>
    <w:rsid w:val="003908EF"/>
    <w:rsid w:val="00393EB6"/>
    <w:rsid w:val="003A21E1"/>
    <w:rsid w:val="003B3422"/>
    <w:rsid w:val="003B6285"/>
    <w:rsid w:val="003C58CE"/>
    <w:rsid w:val="003C7195"/>
    <w:rsid w:val="003D3894"/>
    <w:rsid w:val="003D3EFC"/>
    <w:rsid w:val="003F36E0"/>
    <w:rsid w:val="0040450D"/>
    <w:rsid w:val="0040612C"/>
    <w:rsid w:val="004262E3"/>
    <w:rsid w:val="0043119D"/>
    <w:rsid w:val="00436B20"/>
    <w:rsid w:val="00453E77"/>
    <w:rsid w:val="004612F5"/>
    <w:rsid w:val="00464E95"/>
    <w:rsid w:val="00477984"/>
    <w:rsid w:val="00483292"/>
    <w:rsid w:val="0049522A"/>
    <w:rsid w:val="004B150B"/>
    <w:rsid w:val="004B218C"/>
    <w:rsid w:val="004C2EEE"/>
    <w:rsid w:val="004C47B5"/>
    <w:rsid w:val="004D35B7"/>
    <w:rsid w:val="004D4DFA"/>
    <w:rsid w:val="004E61FB"/>
    <w:rsid w:val="00511E95"/>
    <w:rsid w:val="005145BA"/>
    <w:rsid w:val="00541CC6"/>
    <w:rsid w:val="005478AB"/>
    <w:rsid w:val="005608AD"/>
    <w:rsid w:val="005615EA"/>
    <w:rsid w:val="0056160F"/>
    <w:rsid w:val="00561C62"/>
    <w:rsid w:val="0056303D"/>
    <w:rsid w:val="00591B7D"/>
    <w:rsid w:val="00592D54"/>
    <w:rsid w:val="00594BFB"/>
    <w:rsid w:val="005960C9"/>
    <w:rsid w:val="005965A2"/>
    <w:rsid w:val="0059784C"/>
    <w:rsid w:val="00597E5E"/>
    <w:rsid w:val="005A0A22"/>
    <w:rsid w:val="005C794F"/>
    <w:rsid w:val="005D1F2F"/>
    <w:rsid w:val="005D1F37"/>
    <w:rsid w:val="005D4730"/>
    <w:rsid w:val="005D7973"/>
    <w:rsid w:val="005E2522"/>
    <w:rsid w:val="005E4E5C"/>
    <w:rsid w:val="005E6A7E"/>
    <w:rsid w:val="005E7562"/>
    <w:rsid w:val="005F09EB"/>
    <w:rsid w:val="005F4EC9"/>
    <w:rsid w:val="005F6933"/>
    <w:rsid w:val="006027A4"/>
    <w:rsid w:val="00607C8C"/>
    <w:rsid w:val="00607CEF"/>
    <w:rsid w:val="00627E51"/>
    <w:rsid w:val="00631A31"/>
    <w:rsid w:val="0063573E"/>
    <w:rsid w:val="00640D6B"/>
    <w:rsid w:val="00657989"/>
    <w:rsid w:val="006924AA"/>
    <w:rsid w:val="00693335"/>
    <w:rsid w:val="00693568"/>
    <w:rsid w:val="00697489"/>
    <w:rsid w:val="006B1215"/>
    <w:rsid w:val="006B611D"/>
    <w:rsid w:val="006C186A"/>
    <w:rsid w:val="006C5068"/>
    <w:rsid w:val="006C65A9"/>
    <w:rsid w:val="006C715A"/>
    <w:rsid w:val="006D210E"/>
    <w:rsid w:val="006D30F2"/>
    <w:rsid w:val="006D502E"/>
    <w:rsid w:val="006E0F01"/>
    <w:rsid w:val="006F28EB"/>
    <w:rsid w:val="006F56D4"/>
    <w:rsid w:val="007242D0"/>
    <w:rsid w:val="00731E67"/>
    <w:rsid w:val="00736821"/>
    <w:rsid w:val="00736F05"/>
    <w:rsid w:val="007518F8"/>
    <w:rsid w:val="0075198B"/>
    <w:rsid w:val="00762415"/>
    <w:rsid w:val="0077232C"/>
    <w:rsid w:val="00780665"/>
    <w:rsid w:val="0078125F"/>
    <w:rsid w:val="0079350B"/>
    <w:rsid w:val="007B1C33"/>
    <w:rsid w:val="007C03C4"/>
    <w:rsid w:val="007C0F24"/>
    <w:rsid w:val="007C4327"/>
    <w:rsid w:val="007D53F2"/>
    <w:rsid w:val="007D65A7"/>
    <w:rsid w:val="007E1ED3"/>
    <w:rsid w:val="007E70DE"/>
    <w:rsid w:val="008054EC"/>
    <w:rsid w:val="00817146"/>
    <w:rsid w:val="00827BD1"/>
    <w:rsid w:val="00837410"/>
    <w:rsid w:val="00840B7F"/>
    <w:rsid w:val="00842BFC"/>
    <w:rsid w:val="00842C28"/>
    <w:rsid w:val="00877159"/>
    <w:rsid w:val="00887577"/>
    <w:rsid w:val="008901BA"/>
    <w:rsid w:val="0089198B"/>
    <w:rsid w:val="008A4162"/>
    <w:rsid w:val="008A5C2D"/>
    <w:rsid w:val="008B1305"/>
    <w:rsid w:val="008D7007"/>
    <w:rsid w:val="008E28B9"/>
    <w:rsid w:val="008E311B"/>
    <w:rsid w:val="00900A40"/>
    <w:rsid w:val="00904CDA"/>
    <w:rsid w:val="0090507F"/>
    <w:rsid w:val="0090737A"/>
    <w:rsid w:val="009149D3"/>
    <w:rsid w:val="00927B43"/>
    <w:rsid w:val="0093691E"/>
    <w:rsid w:val="00946F52"/>
    <w:rsid w:val="0095589C"/>
    <w:rsid w:val="00960AD5"/>
    <w:rsid w:val="00974C6A"/>
    <w:rsid w:val="009907D8"/>
    <w:rsid w:val="0099230E"/>
    <w:rsid w:val="009A10D7"/>
    <w:rsid w:val="009A2905"/>
    <w:rsid w:val="009B0085"/>
    <w:rsid w:val="009B77B3"/>
    <w:rsid w:val="009C2014"/>
    <w:rsid w:val="009C3D20"/>
    <w:rsid w:val="009D0757"/>
    <w:rsid w:val="009D55DD"/>
    <w:rsid w:val="009D7825"/>
    <w:rsid w:val="009D7EC9"/>
    <w:rsid w:val="009E5A9A"/>
    <w:rsid w:val="009F5E35"/>
    <w:rsid w:val="00A0789F"/>
    <w:rsid w:val="00A1068B"/>
    <w:rsid w:val="00A129B5"/>
    <w:rsid w:val="00A132E3"/>
    <w:rsid w:val="00A139B6"/>
    <w:rsid w:val="00A25BEC"/>
    <w:rsid w:val="00A37A6F"/>
    <w:rsid w:val="00A40F96"/>
    <w:rsid w:val="00A418F1"/>
    <w:rsid w:val="00A43244"/>
    <w:rsid w:val="00A44589"/>
    <w:rsid w:val="00A6126E"/>
    <w:rsid w:val="00A63883"/>
    <w:rsid w:val="00A64AAA"/>
    <w:rsid w:val="00A64E52"/>
    <w:rsid w:val="00A66D4C"/>
    <w:rsid w:val="00A71BAC"/>
    <w:rsid w:val="00A740A1"/>
    <w:rsid w:val="00A82B67"/>
    <w:rsid w:val="00A854A2"/>
    <w:rsid w:val="00A86FD6"/>
    <w:rsid w:val="00A87CB1"/>
    <w:rsid w:val="00A87E7A"/>
    <w:rsid w:val="00AA400B"/>
    <w:rsid w:val="00AA537D"/>
    <w:rsid w:val="00AA602C"/>
    <w:rsid w:val="00AB03C1"/>
    <w:rsid w:val="00AB494E"/>
    <w:rsid w:val="00AB5212"/>
    <w:rsid w:val="00AB6220"/>
    <w:rsid w:val="00AF101B"/>
    <w:rsid w:val="00AF4BC1"/>
    <w:rsid w:val="00B10483"/>
    <w:rsid w:val="00B118FF"/>
    <w:rsid w:val="00B127A6"/>
    <w:rsid w:val="00B20BDE"/>
    <w:rsid w:val="00B217BB"/>
    <w:rsid w:val="00B43D1F"/>
    <w:rsid w:val="00B43E88"/>
    <w:rsid w:val="00B51584"/>
    <w:rsid w:val="00B55440"/>
    <w:rsid w:val="00B566D6"/>
    <w:rsid w:val="00B64F33"/>
    <w:rsid w:val="00B65D18"/>
    <w:rsid w:val="00B6623C"/>
    <w:rsid w:val="00B66728"/>
    <w:rsid w:val="00B71978"/>
    <w:rsid w:val="00B73AC3"/>
    <w:rsid w:val="00B7553F"/>
    <w:rsid w:val="00B8669D"/>
    <w:rsid w:val="00B8673D"/>
    <w:rsid w:val="00B86821"/>
    <w:rsid w:val="00BA164F"/>
    <w:rsid w:val="00BA6061"/>
    <w:rsid w:val="00BC7A4E"/>
    <w:rsid w:val="00BD3761"/>
    <w:rsid w:val="00BE3EFB"/>
    <w:rsid w:val="00BE4B5F"/>
    <w:rsid w:val="00BF69F2"/>
    <w:rsid w:val="00BF6B48"/>
    <w:rsid w:val="00C13F97"/>
    <w:rsid w:val="00C157E0"/>
    <w:rsid w:val="00C176DF"/>
    <w:rsid w:val="00C251E7"/>
    <w:rsid w:val="00C27F71"/>
    <w:rsid w:val="00C56AF0"/>
    <w:rsid w:val="00C71D77"/>
    <w:rsid w:val="00C732B0"/>
    <w:rsid w:val="00C75EB1"/>
    <w:rsid w:val="00C7618F"/>
    <w:rsid w:val="00C9487E"/>
    <w:rsid w:val="00C9562C"/>
    <w:rsid w:val="00CA08FB"/>
    <w:rsid w:val="00CA70EE"/>
    <w:rsid w:val="00CB2933"/>
    <w:rsid w:val="00CB3337"/>
    <w:rsid w:val="00CB78D7"/>
    <w:rsid w:val="00CD3EDC"/>
    <w:rsid w:val="00CD5318"/>
    <w:rsid w:val="00CF00DE"/>
    <w:rsid w:val="00D02068"/>
    <w:rsid w:val="00D048A0"/>
    <w:rsid w:val="00D048E4"/>
    <w:rsid w:val="00D2439B"/>
    <w:rsid w:val="00D24516"/>
    <w:rsid w:val="00D36EF1"/>
    <w:rsid w:val="00D438DE"/>
    <w:rsid w:val="00D55D61"/>
    <w:rsid w:val="00D62AC2"/>
    <w:rsid w:val="00D65F48"/>
    <w:rsid w:val="00D76757"/>
    <w:rsid w:val="00D83D49"/>
    <w:rsid w:val="00D928B0"/>
    <w:rsid w:val="00DB4A56"/>
    <w:rsid w:val="00DC1E4A"/>
    <w:rsid w:val="00DC3C11"/>
    <w:rsid w:val="00DD21AD"/>
    <w:rsid w:val="00DD246D"/>
    <w:rsid w:val="00DD6418"/>
    <w:rsid w:val="00DF3C49"/>
    <w:rsid w:val="00E03145"/>
    <w:rsid w:val="00E120D7"/>
    <w:rsid w:val="00E22FA9"/>
    <w:rsid w:val="00E24845"/>
    <w:rsid w:val="00E30774"/>
    <w:rsid w:val="00E349DD"/>
    <w:rsid w:val="00E57405"/>
    <w:rsid w:val="00E62D01"/>
    <w:rsid w:val="00E633B3"/>
    <w:rsid w:val="00E6752E"/>
    <w:rsid w:val="00E758A9"/>
    <w:rsid w:val="00E815D3"/>
    <w:rsid w:val="00E91FA1"/>
    <w:rsid w:val="00EB0069"/>
    <w:rsid w:val="00EB606F"/>
    <w:rsid w:val="00EB752F"/>
    <w:rsid w:val="00EC0773"/>
    <w:rsid w:val="00EC0B99"/>
    <w:rsid w:val="00EC4CE0"/>
    <w:rsid w:val="00EC4FA2"/>
    <w:rsid w:val="00ED09F6"/>
    <w:rsid w:val="00ED6227"/>
    <w:rsid w:val="00EE3CC4"/>
    <w:rsid w:val="00EE730E"/>
    <w:rsid w:val="00EF1D2F"/>
    <w:rsid w:val="00EF2DBD"/>
    <w:rsid w:val="00F0288A"/>
    <w:rsid w:val="00F102C2"/>
    <w:rsid w:val="00F13339"/>
    <w:rsid w:val="00F21410"/>
    <w:rsid w:val="00F40A2B"/>
    <w:rsid w:val="00F41B78"/>
    <w:rsid w:val="00F50ADF"/>
    <w:rsid w:val="00F5257A"/>
    <w:rsid w:val="00F80720"/>
    <w:rsid w:val="00F92862"/>
    <w:rsid w:val="00FA2AA2"/>
    <w:rsid w:val="00FC3F50"/>
    <w:rsid w:val="00FC5D9C"/>
    <w:rsid w:val="00FD1570"/>
    <w:rsid w:val="00FD205A"/>
    <w:rsid w:val="00FD2073"/>
    <w:rsid w:val="00FD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4AFE"/>
  <w15:chartTrackingRefBased/>
  <w15:docId w15:val="{1F2B2AD5-0616-4B48-91E9-18141E3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2BFC"/>
    <w:pPr>
      <w:keepNext/>
      <w:keepLines/>
      <w:spacing w:before="240" w:after="0"/>
      <w:outlineLvl w:val="0"/>
    </w:pPr>
    <w:rPr>
      <w:rFonts w:ascii="Times New Roman" w:eastAsiaTheme="majorEastAsia" w:hAnsi="Times New Roman" w:cstheme="majorBidi"/>
      <w:b/>
      <w:color w:val="2E74B5" w:themeColor="accent1" w:themeShade="BF"/>
      <w:sz w:val="24"/>
      <w:szCs w:val="32"/>
    </w:rPr>
  </w:style>
  <w:style w:type="paragraph" w:styleId="2">
    <w:name w:val="heading 2"/>
    <w:basedOn w:val="a"/>
    <w:next w:val="a"/>
    <w:link w:val="20"/>
    <w:uiPriority w:val="9"/>
    <w:unhideWhenUsed/>
    <w:qFormat/>
    <w:rsid w:val="00495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522A"/>
    <w:pPr>
      <w:spacing w:after="0" w:line="240" w:lineRule="auto"/>
    </w:pPr>
  </w:style>
  <w:style w:type="character" w:customStyle="1" w:styleId="10">
    <w:name w:val="Заголовок 1 Знак"/>
    <w:basedOn w:val="a0"/>
    <w:link w:val="1"/>
    <w:uiPriority w:val="9"/>
    <w:rsid w:val="00842BFC"/>
    <w:rPr>
      <w:rFonts w:ascii="Times New Roman" w:eastAsiaTheme="majorEastAsia" w:hAnsi="Times New Roman" w:cstheme="majorBidi"/>
      <w:b/>
      <w:color w:val="2E74B5" w:themeColor="accent1" w:themeShade="BF"/>
      <w:sz w:val="24"/>
      <w:szCs w:val="32"/>
    </w:rPr>
  </w:style>
  <w:style w:type="character" w:customStyle="1" w:styleId="20">
    <w:name w:val="Заголовок 2 Знак"/>
    <w:basedOn w:val="a0"/>
    <w:link w:val="2"/>
    <w:uiPriority w:val="9"/>
    <w:rsid w:val="0049522A"/>
    <w:rPr>
      <w:rFonts w:asciiTheme="majorHAnsi" w:eastAsiaTheme="majorEastAsia" w:hAnsiTheme="majorHAnsi" w:cstheme="majorBidi"/>
      <w:color w:val="2E74B5" w:themeColor="accent1" w:themeShade="BF"/>
      <w:sz w:val="26"/>
      <w:szCs w:val="26"/>
    </w:rPr>
  </w:style>
  <w:style w:type="paragraph" w:styleId="a4">
    <w:name w:val="List Paragraph"/>
    <w:aliases w:val="List Paragraph (numbered (a)),WB Para,References,WB List Paragraph,Dot pt,F5 List Paragraph,List Paragraph1,No Spacing1,List Paragraph Char Char Char,Indicator Text,Numbered Para 1,Colorful List - Accent 11,Bullet 1,Bullet Points,Bullet1,3"/>
    <w:basedOn w:val="a"/>
    <w:link w:val="a5"/>
    <w:uiPriority w:val="34"/>
    <w:qFormat/>
    <w:rsid w:val="008901BA"/>
    <w:pPr>
      <w:ind w:left="720"/>
      <w:contextualSpacing/>
    </w:pPr>
  </w:style>
  <w:style w:type="character" w:styleId="a6">
    <w:name w:val="Hyperlink"/>
    <w:basedOn w:val="a0"/>
    <w:uiPriority w:val="99"/>
    <w:unhideWhenUsed/>
    <w:rsid w:val="009A10D7"/>
    <w:rPr>
      <w:i/>
      <w:sz w:val="22"/>
      <w:szCs w:val="22"/>
    </w:rPr>
  </w:style>
  <w:style w:type="paragraph" w:styleId="a7">
    <w:name w:val="footnote text"/>
    <w:aliases w:val="A,ADB,FOOTNOTES,Footno,Footnote,Footnote Text Char Char Char Char Char Char,Footnote Text WBR,Footnote Text qer,Footnote text,Fußnote,Fußnotentext Char,WB-Fußnotentext,WBR,f,fn,footnote text,ft,pod carou,single space,single space Char Char"/>
    <w:basedOn w:val="a"/>
    <w:link w:val="a8"/>
    <w:uiPriority w:val="99"/>
    <w:unhideWhenUsed/>
    <w:qFormat/>
    <w:rsid w:val="009A10D7"/>
    <w:pPr>
      <w:spacing w:after="0" w:line="240" w:lineRule="auto"/>
    </w:pPr>
    <w:rPr>
      <w:rFonts w:ascii="Times New Roman" w:hAnsi="Times New Roman" w:cs="Times New Roman"/>
      <w:sz w:val="20"/>
      <w:szCs w:val="20"/>
    </w:rPr>
  </w:style>
  <w:style w:type="character" w:customStyle="1" w:styleId="a8">
    <w:name w:val="Текст виноски Знак"/>
    <w:aliases w:val="A Знак,ADB Знак,FOOTNOTES Знак,Footno Знак,Footnote Знак,Footnote Text Char Char Char Char Char Char Знак,Footnote Text WBR Знак,Footnote Text qer Знак,Footnote text Знак,Fußnote Знак,Fußnotentext Char Знак,WB-Fußnotentext Знак,f Знак"/>
    <w:basedOn w:val="a0"/>
    <w:link w:val="a7"/>
    <w:uiPriority w:val="99"/>
    <w:qFormat/>
    <w:rsid w:val="009A10D7"/>
    <w:rPr>
      <w:rFonts w:ascii="Times New Roman" w:hAnsi="Times New Roman" w:cs="Times New Roman"/>
      <w:sz w:val="20"/>
      <w:szCs w:val="20"/>
    </w:rPr>
  </w:style>
  <w:style w:type="character" w:styleId="a9">
    <w:name w:val="footnote reference"/>
    <w:aliases w:val=" BVI fnr,Error-Fußnotenzeichen3,Error-Fußnotenzeichen5,Error-Fußnotenzeichen6,FR,Footnote Reference Number,Footnote Reference1,Footnote Reference_LVL6,Footnote Reference_LVL61,Footnote Reference_LVL62,Footnote Reference_LVL63,fr,ftref"/>
    <w:basedOn w:val="a0"/>
    <w:link w:val="BVIfnrChar1Char"/>
    <w:uiPriority w:val="99"/>
    <w:unhideWhenUsed/>
    <w:qFormat/>
    <w:rsid w:val="009A10D7"/>
    <w:rPr>
      <w:vertAlign w:val="superscript"/>
    </w:rPr>
  </w:style>
  <w:style w:type="paragraph" w:customStyle="1" w:styleId="BVIfnrChar1Char">
    <w:name w:val="BVI fnr Char1 Char"/>
    <w:aliases w:val="Exposant 3 Point Char Char,Footnote Reference Number Char Char,Footnote reference number Char Char,Footnote symbol Char1 Char,Times 10 Point Char Char"/>
    <w:basedOn w:val="a"/>
    <w:next w:val="a"/>
    <w:link w:val="a9"/>
    <w:qFormat/>
    <w:rsid w:val="009A10D7"/>
    <w:pPr>
      <w:spacing w:line="240" w:lineRule="exact"/>
    </w:pPr>
    <w:rPr>
      <w:vertAlign w:val="superscript"/>
    </w:rPr>
  </w:style>
  <w:style w:type="paragraph" w:customStyle="1" w:styleId="Pa0">
    <w:name w:val="Pa0"/>
    <w:basedOn w:val="a"/>
    <w:next w:val="a"/>
    <w:uiPriority w:val="99"/>
    <w:rsid w:val="009A10D7"/>
    <w:pPr>
      <w:widowControl w:val="0"/>
      <w:autoSpaceDE w:val="0"/>
      <w:autoSpaceDN w:val="0"/>
      <w:adjustRightInd w:val="0"/>
      <w:spacing w:after="0" w:line="201" w:lineRule="atLeast"/>
    </w:pPr>
    <w:rPr>
      <w:rFonts w:ascii="Calibri Light" w:hAnsi="Calibri Light"/>
      <w:sz w:val="24"/>
      <w:szCs w:val="24"/>
    </w:rPr>
  </w:style>
  <w:style w:type="character" w:customStyle="1" w:styleId="A00">
    <w:name w:val="A0"/>
    <w:uiPriority w:val="99"/>
    <w:rsid w:val="009A10D7"/>
    <w:rPr>
      <w:rFonts w:cs="Calibri Light"/>
      <w:color w:val="000000"/>
      <w:sz w:val="18"/>
      <w:szCs w:val="18"/>
    </w:rPr>
  </w:style>
  <w:style w:type="paragraph" w:customStyle="1" w:styleId="normale2">
    <w:name w:val="normale2"/>
    <w:basedOn w:val="a4"/>
    <w:link w:val="normale2Char"/>
    <w:qFormat/>
    <w:rsid w:val="0040612C"/>
    <w:pPr>
      <w:widowControl w:val="0"/>
      <w:numPr>
        <w:numId w:val="2"/>
      </w:num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normale2Char">
    <w:name w:val="normale2 Char"/>
    <w:basedOn w:val="a0"/>
    <w:link w:val="normale2"/>
    <w:locked/>
    <w:rsid w:val="0040612C"/>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40612C"/>
    <w:pPr>
      <w:numPr>
        <w:ilvl w:val="4"/>
        <w:numId w:val="2"/>
      </w:numPr>
      <w:spacing w:after="0" w:line="240" w:lineRule="auto"/>
      <w:ind w:left="720"/>
      <w:jc w:val="both"/>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20BDE"/>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0BDE"/>
    <w:rPr>
      <w:rFonts w:ascii="Segoe UI" w:hAnsi="Segoe UI" w:cs="Segoe UI"/>
      <w:sz w:val="18"/>
      <w:szCs w:val="18"/>
    </w:rPr>
  </w:style>
  <w:style w:type="table" w:styleId="ac">
    <w:name w:val="Table Grid"/>
    <w:aliases w:val="Table long document,mtbs,unVao day nghe bai nay di ban http://nhatquanglan.xlphp.net/"/>
    <w:basedOn w:val="a1"/>
    <w:uiPriority w:val="39"/>
    <w:rsid w:val="00B2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aliases w:val="List Paragraph (numbered (a)) Знак,WB Para Знак,References Знак,WB List Paragraph Знак,Dot pt Знак,F5 List Paragraph Знак,List Paragraph1 Знак,No Spacing1 Знак,List Paragraph Char Char Char Знак,Indicator Text Знак,Numbered Para 1 Знак"/>
    <w:basedOn w:val="a0"/>
    <w:link w:val="a4"/>
    <w:uiPriority w:val="34"/>
    <w:qFormat/>
    <w:rsid w:val="001025A3"/>
  </w:style>
  <w:style w:type="paragraph" w:customStyle="1" w:styleId="Default">
    <w:name w:val="Default"/>
    <w:rsid w:val="00EB606F"/>
    <w:pPr>
      <w:widowControl w:val="0"/>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unhideWhenUsed/>
    <w:rsid w:val="001D5E12"/>
    <w:rPr>
      <w:sz w:val="16"/>
      <w:szCs w:val="16"/>
    </w:rPr>
  </w:style>
  <w:style w:type="paragraph" w:styleId="ae">
    <w:name w:val="annotation text"/>
    <w:basedOn w:val="a"/>
    <w:link w:val="af"/>
    <w:uiPriority w:val="99"/>
    <w:unhideWhenUsed/>
    <w:rsid w:val="001D5E12"/>
    <w:pPr>
      <w:spacing w:line="240" w:lineRule="auto"/>
    </w:pPr>
    <w:rPr>
      <w:sz w:val="20"/>
      <w:szCs w:val="20"/>
    </w:rPr>
  </w:style>
  <w:style w:type="character" w:customStyle="1" w:styleId="af">
    <w:name w:val="Текст примітки Знак"/>
    <w:basedOn w:val="a0"/>
    <w:link w:val="ae"/>
    <w:uiPriority w:val="99"/>
    <w:rsid w:val="001D5E12"/>
    <w:rPr>
      <w:sz w:val="20"/>
      <w:szCs w:val="20"/>
    </w:rPr>
  </w:style>
  <w:style w:type="paragraph" w:styleId="af0">
    <w:name w:val="annotation subject"/>
    <w:basedOn w:val="ae"/>
    <w:next w:val="ae"/>
    <w:link w:val="af1"/>
    <w:uiPriority w:val="99"/>
    <w:semiHidden/>
    <w:unhideWhenUsed/>
    <w:rsid w:val="00250771"/>
    <w:rPr>
      <w:b/>
      <w:bCs/>
    </w:rPr>
  </w:style>
  <w:style w:type="character" w:customStyle="1" w:styleId="af1">
    <w:name w:val="Тема примітки Знак"/>
    <w:basedOn w:val="af"/>
    <w:link w:val="af0"/>
    <w:uiPriority w:val="99"/>
    <w:semiHidden/>
    <w:rsid w:val="00250771"/>
    <w:rPr>
      <w:b/>
      <w:bCs/>
      <w:sz w:val="20"/>
      <w:szCs w:val="20"/>
    </w:rPr>
  </w:style>
  <w:style w:type="character" w:customStyle="1" w:styleId="jlqj4b">
    <w:name w:val="jlqj4b"/>
    <w:basedOn w:val="a0"/>
    <w:rsid w:val="009D7EC9"/>
  </w:style>
  <w:style w:type="character" w:styleId="af2">
    <w:name w:val="line number"/>
    <w:basedOn w:val="a0"/>
    <w:uiPriority w:val="99"/>
    <w:semiHidden/>
    <w:unhideWhenUsed/>
    <w:rsid w:val="002B6112"/>
  </w:style>
  <w:style w:type="paragraph" w:styleId="af3">
    <w:name w:val="TOC Heading"/>
    <w:basedOn w:val="1"/>
    <w:next w:val="a"/>
    <w:uiPriority w:val="39"/>
    <w:unhideWhenUsed/>
    <w:qFormat/>
    <w:rsid w:val="00C176DF"/>
    <w:pPr>
      <w:outlineLvl w:val="9"/>
    </w:pPr>
    <w:rPr>
      <w:rFonts w:asciiTheme="majorHAnsi" w:hAnsiTheme="majorHAnsi"/>
      <w:b w:val="0"/>
      <w:sz w:val="32"/>
    </w:rPr>
  </w:style>
  <w:style w:type="paragraph" w:styleId="11">
    <w:name w:val="toc 1"/>
    <w:basedOn w:val="a"/>
    <w:next w:val="a"/>
    <w:autoRedefine/>
    <w:uiPriority w:val="39"/>
    <w:unhideWhenUsed/>
    <w:rsid w:val="00C176DF"/>
    <w:pPr>
      <w:spacing w:after="100"/>
    </w:pPr>
  </w:style>
  <w:style w:type="paragraph" w:styleId="21">
    <w:name w:val="toc 2"/>
    <w:basedOn w:val="a"/>
    <w:next w:val="a"/>
    <w:autoRedefine/>
    <w:uiPriority w:val="39"/>
    <w:unhideWhenUsed/>
    <w:rsid w:val="00C176DF"/>
    <w:pPr>
      <w:spacing w:after="100"/>
      <w:ind w:left="220"/>
    </w:pPr>
  </w:style>
  <w:style w:type="paragraph" w:styleId="af4">
    <w:name w:val="header"/>
    <w:basedOn w:val="a"/>
    <w:link w:val="af5"/>
    <w:uiPriority w:val="99"/>
    <w:unhideWhenUsed/>
    <w:rsid w:val="00E62D01"/>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E62D01"/>
  </w:style>
  <w:style w:type="paragraph" w:styleId="af6">
    <w:name w:val="footer"/>
    <w:basedOn w:val="a"/>
    <w:link w:val="af7"/>
    <w:uiPriority w:val="99"/>
    <w:unhideWhenUsed/>
    <w:rsid w:val="00E62D01"/>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E62D01"/>
  </w:style>
  <w:style w:type="character" w:styleId="af8">
    <w:name w:val="Mention"/>
    <w:basedOn w:val="a0"/>
    <w:uiPriority w:val="99"/>
    <w:rsid w:val="0003705B"/>
    <w:rPr>
      <w:color w:val="2B579A"/>
      <w:shd w:val="clear" w:color="auto" w:fill="E1DFDD"/>
    </w:rPr>
  </w:style>
  <w:style w:type="character" w:customStyle="1" w:styleId="viiyi">
    <w:name w:val="viiyi"/>
    <w:basedOn w:val="a0"/>
    <w:rsid w:val="00DF3C49"/>
  </w:style>
  <w:style w:type="character" w:customStyle="1" w:styleId="normaltextrun">
    <w:name w:val="normaltextrun"/>
    <w:basedOn w:val="a0"/>
    <w:rsid w:val="0030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45671">
      <w:bodyDiv w:val="1"/>
      <w:marLeft w:val="0"/>
      <w:marRight w:val="0"/>
      <w:marTop w:val="0"/>
      <w:marBottom w:val="0"/>
      <w:divBdr>
        <w:top w:val="none" w:sz="0" w:space="0" w:color="auto"/>
        <w:left w:val="none" w:sz="0" w:space="0" w:color="auto"/>
        <w:bottom w:val="none" w:sz="0" w:space="0" w:color="auto"/>
        <w:right w:val="none" w:sz="0" w:space="0" w:color="auto"/>
      </w:divBdr>
    </w:div>
    <w:div w:id="1190876589">
      <w:bodyDiv w:val="1"/>
      <w:marLeft w:val="0"/>
      <w:marRight w:val="0"/>
      <w:marTop w:val="0"/>
      <w:marBottom w:val="0"/>
      <w:divBdr>
        <w:top w:val="none" w:sz="0" w:space="0" w:color="auto"/>
        <w:left w:val="none" w:sz="0" w:space="0" w:color="auto"/>
        <w:bottom w:val="none" w:sz="0" w:space="0" w:color="auto"/>
        <w:right w:val="none" w:sz="0" w:space="0" w:color="auto"/>
      </w:divBdr>
    </w:div>
    <w:div w:id="13073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ltitran.com/m.exe?s=Non-Governmental+Organizations&amp;l1=1&amp;l2=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1039c763f2f5f9e938da7561577f3f40">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f59b2fb1d9b549adcb2105e84dac707f"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20482-11F2-4FF1-B572-9D057659C04F}">
  <ds:schemaRefs>
    <ds:schemaRef ds:uri="http://schemas.openxmlformats.org/officeDocument/2006/bibliography"/>
  </ds:schemaRefs>
</ds:datastoreItem>
</file>

<file path=customXml/itemProps2.xml><?xml version="1.0" encoding="utf-8"?>
<ds:datastoreItem xmlns:ds="http://schemas.openxmlformats.org/officeDocument/2006/customXml" ds:itemID="{8F7D8AC9-FEDF-4C63-8B67-982050EB5FB8}">
  <ds:schemaRefs>
    <ds:schemaRef ds:uri="http://schemas.microsoft.com/sharepoint/v3/contenttype/forms"/>
  </ds:schemaRefs>
</ds:datastoreItem>
</file>

<file path=customXml/itemProps3.xml><?xml version="1.0" encoding="utf-8"?>
<ds:datastoreItem xmlns:ds="http://schemas.openxmlformats.org/officeDocument/2006/customXml" ds:itemID="{EC4B2279-1294-4B48-8F7E-2F7C1D0A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7FA45-7423-4C68-929A-4F17105EFF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54001</Words>
  <Characters>30781</Characters>
  <Application>Microsoft Office Word</Application>
  <DocSecurity>0</DocSecurity>
  <Lines>256</Lines>
  <Paragraphs>169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84613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 Когут</cp:lastModifiedBy>
  <cp:revision>18</cp:revision>
  <cp:lastPrinted>2020-12-14T14:48:00Z</cp:lastPrinted>
  <dcterms:created xsi:type="dcterms:W3CDTF">2021-03-04T12:09:00Z</dcterms:created>
  <dcterms:modified xsi:type="dcterms:W3CDTF">2021-03-05T12:48:00Z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